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8BE53E">
      <w:pPr>
        <w:tabs>
          <w:tab w:val="left" w:pos="1526"/>
          <w:tab w:val="center" w:pos="4249"/>
        </w:tabs>
        <w:jc w:val="center"/>
        <w:rPr>
          <w:color w:val="1F4E79" w:themeColor="accent5" w:themeShade="80"/>
          <w:sz w:val="32"/>
          <w:szCs w:val="32"/>
          <w:highlight w:val="none"/>
        </w:rPr>
      </w:pPr>
      <w:r>
        <w:rPr>
          <w:i/>
          <w:iCs/>
          <w:color w:val="1F4E79" w:themeColor="accent5" w:themeShade="80"/>
          <w:sz w:val="32"/>
          <w:szCs w:val="32"/>
          <w:highlight w:val="none"/>
        </w:rPr>
        <w:t>BIOCARBON REGISTRY MONITORING REPORT TEMPLATE</w:t>
      </w:r>
    </w:p>
    <w:p w14:paraId="17DAE9E9">
      <w:pPr>
        <w:spacing w:after="360"/>
        <w:jc w:val="center"/>
        <w:rPr>
          <w:sz w:val="28"/>
          <w:szCs w:val="28"/>
          <w:highlight w:val="none"/>
        </w:rPr>
      </w:pPr>
      <w:r>
        <w:rPr>
          <w:b/>
          <w:bCs/>
          <w:color w:val="1F4E79" w:themeColor="accent5" w:themeShade="80"/>
          <w:sz w:val="44"/>
          <w:szCs w:val="44"/>
          <w:highlight w:val="none"/>
        </w:rPr>
        <w:tab/>
      </w:r>
      <w:r>
        <w:rPr>
          <w:rFonts w:hint="default"/>
          <w:b/>
          <w:bCs/>
          <w:color w:val="1F4E79" w:themeColor="accent5" w:themeShade="80"/>
          <w:sz w:val="44"/>
          <w:szCs w:val="44"/>
          <w:highlight w:val="none"/>
          <w:lang w:val="es-ES"/>
        </w:rPr>
        <w:t>First Monitoring Report of the project “</w:t>
      </w:r>
      <w:r>
        <w:rPr>
          <w:b/>
          <w:bCs/>
          <w:color w:val="2F5597" w:themeColor="accent1" w:themeShade="BF"/>
          <w:sz w:val="44"/>
          <w:szCs w:val="44"/>
          <w:highlight w:val="none"/>
        </w:rPr>
        <w:t>Treatment of non-hazardous industrial waste to obtain Biocompost</w:t>
      </w:r>
      <w:r>
        <w:rPr>
          <w:rFonts w:hint="default"/>
          <w:b/>
          <w:bCs/>
          <w:color w:val="2F5597" w:themeColor="accent1" w:themeShade="BF"/>
          <w:sz w:val="44"/>
          <w:szCs w:val="44"/>
          <w:highlight w:val="none"/>
          <w:lang w:val="es-ES"/>
        </w:rPr>
        <w:t>”</w:t>
      </w:r>
      <w:r>
        <w:rPr>
          <w:color w:val="2F5597" w:themeColor="accent1" w:themeShade="BF"/>
          <w:sz w:val="28"/>
          <w:szCs w:val="28"/>
          <w:highlight w:val="none"/>
        </w:rPr>
        <w:t xml:space="preserve"> </w:t>
      </w:r>
    </w:p>
    <w:p w14:paraId="20CE32E1">
      <w:pPr>
        <w:spacing w:after="360"/>
        <w:jc w:val="center"/>
        <w:rPr>
          <w:rFonts w:hint="default"/>
          <w:color w:val="203864" w:themeColor="accent1" w:themeShade="80"/>
          <w:sz w:val="28"/>
          <w:szCs w:val="28"/>
          <w:highlight w:val="none"/>
          <w:lang w:val="es-ES"/>
        </w:rPr>
      </w:pPr>
      <w:r>
        <w:rPr>
          <w:sz w:val="28"/>
          <w:szCs w:val="28"/>
          <w:highlight w:val="none"/>
        </w:rPr>
        <w:t>Document pr</w:t>
      </w:r>
      <w:r>
        <w:rPr>
          <w:rFonts w:hint="default"/>
          <w:sz w:val="28"/>
          <w:szCs w:val="28"/>
          <w:highlight w:val="none"/>
          <w:lang w:val="es-ES"/>
        </w:rPr>
        <w:t>.</w:t>
      </w:r>
      <w:r>
        <w:rPr>
          <w:sz w:val="28"/>
          <w:szCs w:val="28"/>
          <w:highlight w:val="none"/>
        </w:rPr>
        <w:t xml:space="preserve">pared by </w:t>
      </w:r>
      <w:r>
        <w:rPr>
          <w:rFonts w:hint="default"/>
          <w:sz w:val="28"/>
          <w:szCs w:val="28"/>
          <w:highlight w:val="none"/>
          <w:lang w:val="es-ES"/>
        </w:rPr>
        <w:t>WORMS S.A</w:t>
      </w:r>
    </w:p>
    <w:p w14:paraId="4461627B">
      <w:pPr>
        <w:spacing w:after="360"/>
        <w:jc w:val="center"/>
        <w:rPr>
          <w:sz w:val="28"/>
          <w:szCs w:val="28"/>
          <w:highlight w:val="none"/>
        </w:rPr>
      </w:pPr>
      <w:r>
        <w:rPr>
          <w:i/>
          <w:iCs/>
          <w:sz w:val="28"/>
          <w:szCs w:val="28"/>
          <w:highlight w:val="none"/>
        </w:rPr>
        <w:t>Version number</w:t>
      </w:r>
      <w:r>
        <w:rPr>
          <w:rFonts w:hint="default"/>
          <w:i/>
          <w:iCs/>
          <w:sz w:val="28"/>
          <w:szCs w:val="28"/>
          <w:highlight w:val="none"/>
          <w:lang w:val="es-ES"/>
        </w:rPr>
        <w:t xml:space="preserve"> 2</w:t>
      </w:r>
      <w:r>
        <w:rPr>
          <w:i/>
          <w:iCs/>
          <w:sz w:val="28"/>
          <w:szCs w:val="28"/>
          <w:highlight w:val="none"/>
        </w:rPr>
        <w:t xml:space="preserve"> </w:t>
      </w:r>
      <w:r>
        <w:rPr>
          <w:rFonts w:hint="default"/>
          <w:i/>
          <w:iCs/>
          <w:sz w:val="28"/>
          <w:szCs w:val="28"/>
          <w:highlight w:val="none"/>
          <w:lang w:val="es-ES"/>
        </w:rPr>
        <w:t>- 21</w:t>
      </w:r>
      <w:r>
        <w:rPr>
          <w:i/>
          <w:iCs/>
          <w:sz w:val="28"/>
          <w:szCs w:val="28"/>
          <w:highlight w:val="none"/>
        </w:rPr>
        <w:t>/</w:t>
      </w:r>
      <w:r>
        <w:rPr>
          <w:rFonts w:hint="default"/>
          <w:i/>
          <w:iCs/>
          <w:sz w:val="28"/>
          <w:szCs w:val="28"/>
          <w:highlight w:val="none"/>
          <w:lang w:val="es-ES"/>
        </w:rPr>
        <w:t>11</w:t>
      </w:r>
      <w:r>
        <w:rPr>
          <w:i/>
          <w:iCs/>
          <w:sz w:val="28"/>
          <w:szCs w:val="28"/>
          <w:highlight w:val="none"/>
        </w:rPr>
        <w:t>/2024</w:t>
      </w:r>
    </w:p>
    <w:tbl>
      <w:tblPr>
        <w:tblStyle w:val="12"/>
        <w:tblW w:w="5102" w:type="pct"/>
        <w:tblInd w:w="0" w:type="dxa"/>
        <w:tblBorders>
          <w:top w:val="threeDEmboss" w:color="auto" w:sz="6" w:space="0"/>
          <w:left w:val="threeDEmboss" w:color="auto" w:sz="6" w:space="0"/>
          <w:bottom w:val="threeDEmboss" w:color="auto" w:sz="6" w:space="0"/>
          <w:right w:val="threeDEmboss" w:color="auto" w:sz="6" w:space="0"/>
          <w:insideH w:val="single" w:color="auto" w:sz="6" w:space="0"/>
          <w:insideV w:val="single" w:color="auto" w:sz="6" w:space="0"/>
        </w:tblBorders>
        <w:tblLayout w:type="fixed"/>
        <w:tblCellMar>
          <w:top w:w="0" w:type="dxa"/>
          <w:left w:w="70" w:type="dxa"/>
          <w:bottom w:w="0" w:type="dxa"/>
          <w:right w:w="70" w:type="dxa"/>
        </w:tblCellMar>
      </w:tblPr>
      <w:tblGrid>
        <w:gridCol w:w="3463"/>
        <w:gridCol w:w="5351"/>
      </w:tblGrid>
      <w:tr w14:paraId="016874C7">
        <w:trPr>
          <w:trHeight w:val="661" w:hRule="atLeast"/>
          <w:tblHeader/>
        </w:trPr>
        <w:tc>
          <w:tcPr>
            <w:tcW w:w="5000" w:type="pct"/>
            <w:gridSpan w:val="2"/>
            <w:shd w:val="clear" w:color="auto" w:fill="auto"/>
            <w:noWrap/>
            <w:vAlign w:val="center"/>
          </w:tcPr>
          <w:p w14:paraId="30672E50">
            <w:pPr>
              <w:spacing w:before="0" w:after="0"/>
              <w:jc w:val="center"/>
              <w:rPr>
                <w:b/>
                <w:bCs/>
                <w:highlight w:val="none"/>
                <w:lang w:eastAsia="es-CO"/>
              </w:rPr>
            </w:pPr>
            <w:r>
              <w:rPr>
                <w:b/>
                <w:bCs/>
                <w:highlight w:val="none"/>
                <w:lang w:eastAsia="es-CO"/>
              </w:rPr>
              <w:t xml:space="preserve">Monitoring Report </w:t>
            </w:r>
          </w:p>
        </w:tc>
      </w:tr>
      <w:tr w14:paraId="74E552EB">
        <w:trPr>
          <w:trHeight w:val="825" w:hRule="atLeast"/>
        </w:trPr>
        <w:tc>
          <w:tcPr>
            <w:tcW w:w="1964" w:type="pct"/>
            <w:shd w:val="clear" w:color="auto" w:fill="auto"/>
            <w:noWrap/>
            <w:vAlign w:val="center"/>
          </w:tcPr>
          <w:p w14:paraId="1DF12342">
            <w:pPr>
              <w:spacing w:before="0" w:after="0"/>
              <w:rPr>
                <w:b/>
                <w:bCs/>
                <w:highlight w:val="none"/>
                <w:lang w:eastAsia="es-CO"/>
              </w:rPr>
            </w:pPr>
            <w:r>
              <w:rPr>
                <w:b/>
                <w:bCs/>
                <w:highlight w:val="none"/>
                <w:lang w:eastAsia="es-CO"/>
              </w:rPr>
              <w:t>Name of project</w:t>
            </w:r>
          </w:p>
        </w:tc>
        <w:tc>
          <w:tcPr>
            <w:tcW w:w="3036" w:type="pct"/>
            <w:shd w:val="clear" w:color="auto" w:fill="auto"/>
            <w:noWrap/>
            <w:vAlign w:val="center"/>
          </w:tcPr>
          <w:p w14:paraId="46E25BB7">
            <w:pPr>
              <w:spacing w:before="0" w:after="0"/>
              <w:rPr>
                <w:i/>
                <w:iCs/>
                <w:highlight w:val="none"/>
                <w:lang w:eastAsia="es-CO"/>
              </w:rPr>
            </w:pPr>
            <w:r>
              <w:rPr>
                <w:color w:val="000000"/>
                <w:highlight w:val="none"/>
              </w:rPr>
              <w:t>Treatment of non-hazardous industrial waste to obtain Biocompost</w:t>
            </w:r>
          </w:p>
        </w:tc>
      </w:tr>
      <w:tr w14:paraId="4CE85D74">
        <w:trPr>
          <w:trHeight w:val="675" w:hRule="atLeast"/>
        </w:trPr>
        <w:tc>
          <w:tcPr>
            <w:tcW w:w="1964" w:type="pct"/>
            <w:shd w:val="clear" w:color="auto" w:fill="auto"/>
            <w:noWrap/>
            <w:vAlign w:val="center"/>
          </w:tcPr>
          <w:p w14:paraId="7EADF843">
            <w:pPr>
              <w:spacing w:before="0" w:after="0"/>
              <w:rPr>
                <w:b/>
                <w:bCs/>
                <w:highlight w:val="none"/>
                <w:lang w:eastAsia="es-CO"/>
              </w:rPr>
            </w:pPr>
            <w:r>
              <w:rPr>
                <w:b/>
                <w:bCs/>
                <w:highlight w:val="none"/>
                <w:lang w:eastAsia="es-CO"/>
              </w:rPr>
              <w:t>BCR Project ID</w:t>
            </w:r>
          </w:p>
        </w:tc>
        <w:tc>
          <w:tcPr>
            <w:tcW w:w="3036" w:type="pct"/>
            <w:shd w:val="clear" w:color="auto" w:fill="auto"/>
            <w:noWrap/>
            <w:vAlign w:val="center"/>
          </w:tcPr>
          <w:p w14:paraId="731A241D">
            <w:pPr>
              <w:pStyle w:val="96"/>
              <w:keepNext w:val="0"/>
              <w:keepLines w:val="0"/>
              <w:widowControl/>
              <w:suppressLineNumbers w:val="0"/>
              <w:rPr>
                <w:i/>
                <w:iCs/>
                <w:highlight w:val="none"/>
                <w:lang w:eastAsia="es-CO"/>
              </w:rPr>
            </w:pPr>
            <w:r>
              <w:rPr>
                <w:highlight w:val="none"/>
              </w:rPr>
              <w:t>BCR-AR-763-13-001</w:t>
            </w:r>
          </w:p>
        </w:tc>
      </w:tr>
      <w:tr w14:paraId="5E67D2A6">
        <w:trPr>
          <w:trHeight w:val="675" w:hRule="atLeast"/>
        </w:trPr>
        <w:tc>
          <w:tcPr>
            <w:tcW w:w="1964" w:type="pct"/>
            <w:shd w:val="clear" w:color="auto" w:fill="auto"/>
            <w:noWrap/>
            <w:vAlign w:val="center"/>
          </w:tcPr>
          <w:p w14:paraId="67097E8A">
            <w:pPr>
              <w:spacing w:before="0" w:after="0"/>
              <w:rPr>
                <w:rFonts w:hint="default" w:ascii="Helvetica Bold" w:hAnsi="Helvetica Bold" w:eastAsia="helvetica" w:cs="Helvetica Bold"/>
                <w:b/>
                <w:bCs/>
                <w:color w:val="000000"/>
                <w:kern w:val="0"/>
                <w:sz w:val="22"/>
                <w:szCs w:val="22"/>
                <w:highlight w:val="none"/>
                <w:lang w:val="en-US" w:eastAsia="es-CO" w:bidi="ar"/>
              </w:rPr>
            </w:pPr>
            <w:r>
              <w:rPr>
                <w:rFonts w:hint="default" w:ascii="Helvetica Bold" w:hAnsi="Helvetica Bold" w:eastAsia="helvetica" w:cs="Helvetica Bold"/>
                <w:b/>
                <w:bCs/>
                <w:color w:val="000000"/>
                <w:kern w:val="0"/>
                <w:sz w:val="22"/>
                <w:szCs w:val="22"/>
                <w:highlight w:val="none"/>
                <w:lang w:val="en-US" w:eastAsia="es-CO" w:bidi="ar"/>
              </w:rPr>
              <w:t>Registration date of the project activity</w:t>
            </w:r>
          </w:p>
        </w:tc>
        <w:tc>
          <w:tcPr>
            <w:tcW w:w="3036" w:type="pct"/>
            <w:shd w:val="clear" w:color="auto" w:fill="auto"/>
            <w:noWrap/>
            <w:vAlign w:val="center"/>
          </w:tcPr>
          <w:p w14:paraId="7248656C">
            <w:pPr>
              <w:keepNext w:val="0"/>
              <w:keepLines w:val="0"/>
              <w:widowControl/>
              <w:suppressLineNumbers w:val="0"/>
              <w:jc w:val="left"/>
              <w:rPr>
                <w:rFonts w:ascii="helvetica" w:hAnsi="helvetica" w:eastAsia="helvetica" w:cs="helvetica"/>
                <w:color w:val="000000"/>
                <w:kern w:val="0"/>
                <w:sz w:val="22"/>
                <w:szCs w:val="22"/>
                <w:highlight w:val="none"/>
                <w:lang w:val="en-US" w:eastAsia="es-CO" w:bidi="ar"/>
              </w:rPr>
            </w:pPr>
            <w:r>
              <w:rPr>
                <w:rFonts w:ascii="helvetica" w:hAnsi="helvetica" w:eastAsia="helvetica" w:cs="helvetica"/>
                <w:color w:val="000000"/>
                <w:kern w:val="0"/>
                <w:sz w:val="22"/>
                <w:szCs w:val="22"/>
                <w:highlight w:val="none"/>
                <w:lang w:val="en-US" w:eastAsia="zh-CN" w:bidi="ar"/>
              </w:rPr>
              <w:t>13/04/2024</w:t>
            </w:r>
          </w:p>
        </w:tc>
      </w:tr>
      <w:tr w14:paraId="168E8EA2">
        <w:trPr>
          <w:trHeight w:val="675" w:hRule="atLeast"/>
        </w:trPr>
        <w:tc>
          <w:tcPr>
            <w:tcW w:w="1964" w:type="pct"/>
            <w:shd w:val="clear" w:color="auto" w:fill="auto"/>
            <w:noWrap/>
            <w:vAlign w:val="center"/>
          </w:tcPr>
          <w:p w14:paraId="019A2226">
            <w:pPr>
              <w:spacing w:before="0" w:after="0"/>
              <w:rPr>
                <w:b/>
                <w:bCs/>
                <w:highlight w:val="none"/>
                <w:lang w:eastAsia="es-CO"/>
              </w:rPr>
            </w:pPr>
            <w:r>
              <w:rPr>
                <w:b/>
                <w:bCs/>
                <w:highlight w:val="none"/>
                <w:lang w:eastAsia="es-CO"/>
              </w:rPr>
              <w:t>Project holder</w:t>
            </w:r>
          </w:p>
        </w:tc>
        <w:tc>
          <w:tcPr>
            <w:tcW w:w="3036" w:type="pct"/>
            <w:shd w:val="clear" w:color="auto" w:fill="auto"/>
            <w:noWrap/>
            <w:vAlign w:val="center"/>
          </w:tcPr>
          <w:p w14:paraId="111CBD15">
            <w:pPr>
              <w:spacing w:before="0" w:after="0"/>
              <w:rPr>
                <w:i/>
                <w:iCs/>
                <w:highlight w:val="none"/>
                <w:lang w:eastAsia="es-CO"/>
              </w:rPr>
            </w:pPr>
            <w:r>
              <w:rPr>
                <w:highlight w:val="none"/>
                <w:lang w:eastAsia="es-CO"/>
              </w:rPr>
              <w:t>WORMS ARGENTINA S.A.</w:t>
            </w:r>
          </w:p>
        </w:tc>
      </w:tr>
      <w:tr w14:paraId="0A61AF75">
        <w:trPr>
          <w:trHeight w:val="596" w:hRule="atLeast"/>
        </w:trPr>
        <w:tc>
          <w:tcPr>
            <w:tcW w:w="1964" w:type="pct"/>
            <w:shd w:val="clear" w:color="auto" w:fill="auto"/>
            <w:noWrap/>
            <w:vAlign w:val="center"/>
          </w:tcPr>
          <w:p w14:paraId="1CAB009A">
            <w:pPr>
              <w:spacing w:before="0" w:after="0"/>
              <w:rPr>
                <w:b/>
                <w:bCs/>
                <w:highlight w:val="none"/>
                <w:lang w:eastAsia="es-CO"/>
              </w:rPr>
            </w:pPr>
            <w:r>
              <w:rPr>
                <w:b/>
                <w:bCs/>
                <w:highlight w:val="none"/>
                <w:lang w:eastAsia="es-CO"/>
              </w:rPr>
              <w:t>Contact</w:t>
            </w:r>
          </w:p>
        </w:tc>
        <w:tc>
          <w:tcPr>
            <w:tcW w:w="3036" w:type="pct"/>
            <w:shd w:val="clear" w:color="auto" w:fill="auto"/>
            <w:noWrap/>
            <w:vAlign w:val="center"/>
          </w:tcPr>
          <w:p w14:paraId="6742D7E7">
            <w:pPr>
              <w:spacing w:before="0" w:after="0"/>
              <w:rPr>
                <w:highlight w:val="none"/>
                <w:lang w:val="es-ES" w:eastAsia="es-CO"/>
              </w:rPr>
            </w:pPr>
            <w:r>
              <w:rPr>
                <w:highlight w:val="none"/>
                <w:lang w:val="es-ES" w:eastAsia="es-CO"/>
              </w:rPr>
              <w:t xml:space="preserve">PABLO MAURICIO ZIMMERMAN, Nucci y San Martín Arroyo Seco Santa Fe (Argentina), </w:t>
            </w:r>
            <w:r>
              <w:rPr>
                <w:highlight w:val="none"/>
                <w:lang w:val="es-ES"/>
              </w:rPr>
              <w:t>ftiscornia@wormsargentina.com.ar</w:t>
            </w:r>
            <w:r>
              <w:rPr>
                <w:highlight w:val="none"/>
                <w:lang w:val="es-ES" w:eastAsia="es-CO"/>
              </w:rPr>
              <w:t xml:space="preserve"> +543402575283</w:t>
            </w:r>
          </w:p>
        </w:tc>
      </w:tr>
      <w:tr w14:paraId="73F7956D">
        <w:trPr>
          <w:trHeight w:val="647" w:hRule="atLeast"/>
        </w:trPr>
        <w:tc>
          <w:tcPr>
            <w:tcW w:w="1964" w:type="pct"/>
            <w:shd w:val="clear" w:color="auto" w:fill="auto"/>
            <w:noWrap/>
            <w:vAlign w:val="center"/>
          </w:tcPr>
          <w:p w14:paraId="56256700">
            <w:pPr>
              <w:spacing w:before="0" w:after="0"/>
              <w:rPr>
                <w:b/>
                <w:bCs/>
                <w:highlight w:val="none"/>
                <w:lang w:eastAsia="es-CO"/>
              </w:rPr>
            </w:pPr>
            <w:r>
              <w:rPr>
                <w:b/>
                <w:bCs/>
                <w:highlight w:val="none"/>
                <w:lang w:eastAsia="es-CO"/>
              </w:rPr>
              <w:t>Version number of the Project Document applicable to this monitoring report</w:t>
            </w:r>
          </w:p>
        </w:tc>
        <w:tc>
          <w:tcPr>
            <w:tcW w:w="3036" w:type="pct"/>
            <w:shd w:val="clear" w:color="auto" w:fill="auto"/>
            <w:noWrap/>
            <w:vAlign w:val="center"/>
          </w:tcPr>
          <w:p w14:paraId="0E2FE9AF">
            <w:pPr>
              <w:spacing w:before="0" w:after="0"/>
              <w:rPr>
                <w:rFonts w:hint="default"/>
                <w:i/>
                <w:iCs/>
                <w:highlight w:val="none"/>
                <w:lang w:val="es-ES" w:eastAsia="es-CO"/>
              </w:rPr>
            </w:pPr>
            <w:r>
              <w:rPr>
                <w:i/>
                <w:iCs/>
                <w:highlight w:val="none"/>
                <w:lang w:eastAsia="es-CO"/>
              </w:rPr>
              <w:t xml:space="preserve">Version number </w:t>
            </w:r>
            <w:r>
              <w:rPr>
                <w:rFonts w:hint="default"/>
                <w:i/>
                <w:iCs/>
                <w:highlight w:val="none"/>
                <w:lang w:val="es-ES" w:eastAsia="es-CO"/>
              </w:rPr>
              <w:t>2</w:t>
            </w:r>
          </w:p>
          <w:p w14:paraId="73ED5C37">
            <w:pPr>
              <w:spacing w:before="0" w:after="0"/>
              <w:rPr>
                <w:i/>
                <w:iCs/>
                <w:highlight w:val="none"/>
                <w:lang w:eastAsia="es-CO"/>
              </w:rPr>
            </w:pPr>
            <w:r>
              <w:rPr>
                <w:i/>
                <w:iCs/>
                <w:highlight w:val="none"/>
                <w:lang w:eastAsia="es-CO"/>
              </w:rPr>
              <w:t>(</w:t>
            </w:r>
            <w:r>
              <w:rPr>
                <w:rFonts w:hint="default"/>
                <w:i/>
                <w:iCs/>
                <w:highlight w:val="none"/>
                <w:lang w:val="es-ES" w:eastAsia="es-CO"/>
              </w:rPr>
              <w:t>21/11</w:t>
            </w:r>
            <w:r>
              <w:rPr>
                <w:i/>
                <w:iCs/>
                <w:highlight w:val="none"/>
                <w:lang w:eastAsia="es-CO"/>
              </w:rPr>
              <w:t>/2024)</w:t>
            </w:r>
          </w:p>
        </w:tc>
      </w:tr>
      <w:tr w14:paraId="447920EB">
        <w:trPr>
          <w:trHeight w:val="829" w:hRule="atLeast"/>
        </w:trPr>
        <w:tc>
          <w:tcPr>
            <w:tcW w:w="1964" w:type="pct"/>
            <w:shd w:val="clear" w:color="auto" w:fill="auto"/>
            <w:noWrap/>
            <w:vAlign w:val="center"/>
          </w:tcPr>
          <w:p w14:paraId="3EB78958">
            <w:pPr>
              <w:spacing w:before="0" w:after="0"/>
              <w:rPr>
                <w:b/>
                <w:bCs/>
                <w:highlight w:val="none"/>
                <w:lang w:eastAsia="es-CO"/>
              </w:rPr>
            </w:pPr>
            <w:r>
              <w:rPr>
                <w:b/>
                <w:bCs/>
                <w:highlight w:val="none"/>
                <w:lang w:eastAsia="es-CO"/>
              </w:rPr>
              <w:t>Applied methodology</w:t>
            </w:r>
          </w:p>
        </w:tc>
        <w:tc>
          <w:tcPr>
            <w:tcW w:w="3036" w:type="pct"/>
            <w:shd w:val="clear" w:color="auto" w:fill="auto"/>
            <w:noWrap/>
            <w:vAlign w:val="center"/>
          </w:tcPr>
          <w:p w14:paraId="221CC332">
            <w:pPr>
              <w:spacing w:before="0" w:after="0"/>
              <w:rPr>
                <w:highlight w:val="none"/>
                <w:lang w:eastAsia="es-CO"/>
              </w:rPr>
            </w:pPr>
            <w:r>
              <w:rPr>
                <w:highlight w:val="none"/>
              </w:rPr>
              <w:t>The methodology used to calculate CO</w:t>
            </w:r>
            <w:r>
              <w:rPr>
                <w:highlight w:val="none"/>
                <w:vertAlign w:val="subscript"/>
              </w:rPr>
              <w:t>2</w:t>
            </w:r>
            <w:r>
              <w:rPr>
                <w:highlight w:val="none"/>
              </w:rPr>
              <w:t xml:space="preserve"> emission savings is a UN CDM methodology: AMS.III.F, Avoid methane emissions through composting, Version 12.0 - Sectoral scope(s): 13.</w:t>
            </w:r>
          </w:p>
        </w:tc>
      </w:tr>
      <w:tr w14:paraId="36EC7C69">
        <w:trPr>
          <w:trHeight w:val="853" w:hRule="atLeast"/>
        </w:trPr>
        <w:tc>
          <w:tcPr>
            <w:tcW w:w="1964" w:type="pct"/>
            <w:shd w:val="clear" w:color="auto" w:fill="auto"/>
            <w:noWrap/>
            <w:vAlign w:val="center"/>
          </w:tcPr>
          <w:p w14:paraId="370C0893">
            <w:pPr>
              <w:spacing w:before="0" w:after="0"/>
              <w:jc w:val="left"/>
              <w:rPr>
                <w:b/>
                <w:bCs/>
                <w:highlight w:val="none"/>
                <w:lang w:eastAsia="es-CO"/>
              </w:rPr>
            </w:pPr>
            <w:r>
              <w:rPr>
                <w:b/>
                <w:bCs/>
                <w:highlight w:val="none"/>
                <w:lang w:eastAsia="es-CO"/>
              </w:rPr>
              <w:t>Project location (Country, Region, City)</w:t>
            </w:r>
          </w:p>
        </w:tc>
        <w:tc>
          <w:tcPr>
            <w:tcW w:w="3036" w:type="pct"/>
            <w:shd w:val="clear" w:color="auto" w:fill="auto"/>
            <w:noWrap/>
            <w:vAlign w:val="center"/>
          </w:tcPr>
          <w:p w14:paraId="2B8DC23B">
            <w:pPr>
              <w:rPr>
                <w:color w:val="000000"/>
                <w:highlight w:val="none"/>
              </w:rPr>
            </w:pPr>
            <w:r>
              <w:rPr>
                <w:color w:val="000000"/>
                <w:highlight w:val="none"/>
              </w:rPr>
              <w:t>Country: Argentina</w:t>
            </w:r>
          </w:p>
          <w:p w14:paraId="78610B33">
            <w:pPr>
              <w:rPr>
                <w:color w:val="000000"/>
                <w:highlight w:val="none"/>
              </w:rPr>
            </w:pPr>
            <w:r>
              <w:rPr>
                <w:color w:val="000000"/>
                <w:highlight w:val="none"/>
              </w:rPr>
              <w:t>Region: Santa Fe</w:t>
            </w:r>
          </w:p>
          <w:p w14:paraId="63B1CC03">
            <w:pPr>
              <w:spacing w:before="0" w:after="0"/>
              <w:rPr>
                <w:highlight w:val="none"/>
                <w:lang w:eastAsia="es-CO"/>
              </w:rPr>
            </w:pPr>
            <w:r>
              <w:rPr>
                <w:color w:val="000000"/>
                <w:highlight w:val="none"/>
              </w:rPr>
              <w:t>City: Arroyo Seco</w:t>
            </w:r>
          </w:p>
        </w:tc>
      </w:tr>
      <w:tr w14:paraId="69BC2C98">
        <w:trPr>
          <w:trHeight w:val="612" w:hRule="atLeast"/>
        </w:trPr>
        <w:tc>
          <w:tcPr>
            <w:tcW w:w="1964" w:type="pct"/>
            <w:shd w:val="clear" w:color="auto" w:fill="auto"/>
            <w:noWrap/>
            <w:vAlign w:val="center"/>
          </w:tcPr>
          <w:p w14:paraId="446779BB">
            <w:pPr>
              <w:spacing w:before="0" w:after="0"/>
              <w:rPr>
                <w:b/>
                <w:bCs/>
                <w:highlight w:val="none"/>
                <w:lang w:eastAsia="es-CO"/>
              </w:rPr>
            </w:pPr>
            <w:r>
              <w:rPr>
                <w:b/>
                <w:bCs/>
                <w:highlight w:val="none"/>
                <w:lang w:eastAsia="es-CO"/>
              </w:rPr>
              <w:t>Project starting date</w:t>
            </w:r>
          </w:p>
        </w:tc>
        <w:tc>
          <w:tcPr>
            <w:tcW w:w="3036" w:type="pct"/>
            <w:shd w:val="clear" w:color="auto" w:fill="auto"/>
            <w:noWrap/>
            <w:vAlign w:val="center"/>
          </w:tcPr>
          <w:p w14:paraId="50B5CE67">
            <w:pPr>
              <w:spacing w:before="0" w:after="0"/>
              <w:rPr>
                <w:highlight w:val="none"/>
                <w:lang w:eastAsia="es-CO"/>
              </w:rPr>
            </w:pPr>
            <w:r>
              <w:rPr>
                <w:rFonts w:eastAsia="Calibri"/>
                <w:i/>
                <w:iCs/>
                <w:highlight w:val="none"/>
                <w:lang w:eastAsia="es-CO"/>
              </w:rPr>
              <w:t>01/04/2018</w:t>
            </w:r>
          </w:p>
        </w:tc>
      </w:tr>
      <w:tr w14:paraId="057658AE">
        <w:trPr>
          <w:trHeight w:val="90" w:hRule="atLeast"/>
        </w:trPr>
        <w:tc>
          <w:tcPr>
            <w:tcW w:w="1964" w:type="pct"/>
            <w:shd w:val="clear" w:color="auto" w:fill="auto"/>
            <w:noWrap/>
            <w:vAlign w:val="center"/>
          </w:tcPr>
          <w:p w14:paraId="4DAB7BC1">
            <w:pPr>
              <w:spacing w:before="0" w:after="0"/>
              <w:rPr>
                <w:b/>
                <w:bCs/>
                <w:highlight w:val="none"/>
                <w:lang w:eastAsia="es-CO"/>
              </w:rPr>
            </w:pPr>
            <w:r>
              <w:rPr>
                <w:b/>
                <w:bCs/>
                <w:highlight w:val="none"/>
                <w:lang w:eastAsia="es-CO"/>
              </w:rPr>
              <w:t>Quantification period of GHG reductions/removals</w:t>
            </w:r>
          </w:p>
        </w:tc>
        <w:tc>
          <w:tcPr>
            <w:tcW w:w="3036" w:type="pct"/>
            <w:shd w:val="clear" w:color="auto" w:fill="auto"/>
            <w:noWrap/>
            <w:vAlign w:val="center"/>
          </w:tcPr>
          <w:p w14:paraId="46B76A50">
            <w:pPr>
              <w:spacing w:before="0" w:after="0"/>
              <w:rPr>
                <w:rFonts w:hint="default"/>
                <w:highlight w:val="none"/>
                <w:lang w:val="es-ES" w:eastAsia="es-CO"/>
              </w:rPr>
            </w:pPr>
            <w:r>
              <w:rPr>
                <w:rFonts w:eastAsia="Calibri"/>
                <w:i/>
                <w:iCs/>
                <w:highlight w:val="none"/>
                <w:lang w:eastAsia="es-CO"/>
              </w:rPr>
              <w:t>01/04/2018 to 31/</w:t>
            </w:r>
            <w:r>
              <w:rPr>
                <w:rFonts w:hint="default" w:eastAsia="Calibri"/>
                <w:i/>
                <w:iCs/>
                <w:highlight w:val="none"/>
                <w:lang w:val="es-ES" w:eastAsia="es-CO"/>
              </w:rPr>
              <w:t>03</w:t>
            </w:r>
            <w:r>
              <w:rPr>
                <w:rFonts w:eastAsia="Calibri"/>
                <w:i/>
                <w:iCs/>
                <w:highlight w:val="none"/>
                <w:lang w:eastAsia="es-CO"/>
              </w:rPr>
              <w:t>/202</w:t>
            </w:r>
            <w:r>
              <w:rPr>
                <w:rFonts w:hint="default" w:eastAsia="Calibri"/>
                <w:i/>
                <w:iCs/>
                <w:highlight w:val="none"/>
                <w:lang w:val="es-ES" w:eastAsia="es-CO"/>
              </w:rPr>
              <w:t>8</w:t>
            </w:r>
          </w:p>
        </w:tc>
      </w:tr>
      <w:tr w14:paraId="6DB20411">
        <w:trPr>
          <w:trHeight w:val="430" w:hRule="atLeast"/>
        </w:trPr>
        <w:tc>
          <w:tcPr>
            <w:tcW w:w="1964" w:type="pct"/>
            <w:shd w:val="clear" w:color="auto" w:fill="auto"/>
            <w:noWrap/>
            <w:vAlign w:val="center"/>
          </w:tcPr>
          <w:p w14:paraId="2C15CF56">
            <w:pPr>
              <w:spacing w:before="0" w:after="0"/>
              <w:rPr>
                <w:b/>
                <w:bCs/>
                <w:highlight w:val="none"/>
                <w:lang w:eastAsia="es-CO"/>
              </w:rPr>
            </w:pPr>
            <w:r>
              <w:rPr>
                <w:b/>
                <w:bCs/>
                <w:highlight w:val="none"/>
                <w:lang w:eastAsia="es-CO"/>
              </w:rPr>
              <w:t>Monitoring period number</w:t>
            </w:r>
          </w:p>
        </w:tc>
        <w:tc>
          <w:tcPr>
            <w:tcW w:w="3036" w:type="pct"/>
            <w:shd w:val="clear" w:color="auto" w:fill="auto"/>
            <w:noWrap/>
            <w:vAlign w:val="center"/>
          </w:tcPr>
          <w:p w14:paraId="5BBFF1F4">
            <w:pPr>
              <w:spacing w:before="0" w:after="0"/>
              <w:rPr>
                <w:rFonts w:eastAsia="Calibri"/>
                <w:i/>
                <w:iCs/>
                <w:highlight w:val="none"/>
                <w:lang w:eastAsia="es-CO"/>
              </w:rPr>
            </w:pPr>
            <w:r>
              <w:rPr>
                <w:rFonts w:eastAsia="Calibri"/>
                <w:i/>
                <w:iCs/>
                <w:highlight w:val="none"/>
                <w:lang w:eastAsia="es-CO"/>
              </w:rPr>
              <w:t>1</w:t>
            </w:r>
          </w:p>
        </w:tc>
      </w:tr>
      <w:tr w14:paraId="738FAE26">
        <w:trPr>
          <w:trHeight w:val="466" w:hRule="atLeast"/>
        </w:trPr>
        <w:tc>
          <w:tcPr>
            <w:tcW w:w="1964" w:type="pct"/>
            <w:shd w:val="clear" w:color="auto" w:fill="auto"/>
            <w:noWrap/>
            <w:vAlign w:val="center"/>
          </w:tcPr>
          <w:p w14:paraId="47129CF8">
            <w:pPr>
              <w:spacing w:before="0" w:after="0"/>
              <w:rPr>
                <w:b/>
                <w:bCs/>
                <w:highlight w:val="none"/>
                <w:lang w:eastAsia="es-CO"/>
              </w:rPr>
            </w:pPr>
            <w:r>
              <w:rPr>
                <w:b/>
                <w:bCs/>
                <w:highlight w:val="none"/>
                <w:lang w:eastAsia="es-CO"/>
              </w:rPr>
              <w:t>Monitoring period</w:t>
            </w:r>
          </w:p>
        </w:tc>
        <w:tc>
          <w:tcPr>
            <w:tcW w:w="3036" w:type="pct"/>
            <w:shd w:val="clear" w:color="auto" w:fill="auto"/>
            <w:noWrap/>
            <w:vAlign w:val="center"/>
          </w:tcPr>
          <w:p w14:paraId="58093052">
            <w:pPr>
              <w:spacing w:before="0" w:after="0"/>
              <w:rPr>
                <w:rFonts w:hint="default"/>
                <w:highlight w:val="none"/>
                <w:lang w:val="es-ES" w:eastAsia="es-CO"/>
              </w:rPr>
            </w:pPr>
            <w:r>
              <w:rPr>
                <w:highlight w:val="none"/>
                <w:lang w:eastAsia="es-CO"/>
              </w:rPr>
              <w:t>01/04/2018 to 31/</w:t>
            </w:r>
            <w:r>
              <w:rPr>
                <w:highlight w:val="none"/>
                <w:lang w:val="es-ES" w:eastAsia="es-CO"/>
              </w:rPr>
              <w:t>03</w:t>
            </w:r>
            <w:r>
              <w:rPr>
                <w:highlight w:val="none"/>
                <w:lang w:eastAsia="es-CO"/>
              </w:rPr>
              <w:t>/202</w:t>
            </w:r>
            <w:r>
              <w:rPr>
                <w:rFonts w:hint="default"/>
                <w:highlight w:val="none"/>
                <w:lang w:val="es-ES" w:eastAsia="es-CO"/>
              </w:rPr>
              <w:t>3</w:t>
            </w:r>
          </w:p>
        </w:tc>
      </w:tr>
      <w:tr w14:paraId="3DAA9167">
        <w:trPr>
          <w:trHeight w:val="975" w:hRule="atLeast"/>
        </w:trPr>
        <w:tc>
          <w:tcPr>
            <w:tcW w:w="1964" w:type="pct"/>
            <w:shd w:val="clear" w:color="auto" w:fill="auto"/>
            <w:noWrap/>
            <w:vAlign w:val="center"/>
          </w:tcPr>
          <w:p w14:paraId="4D436F32">
            <w:pPr>
              <w:spacing w:before="0" w:after="0"/>
              <w:rPr>
                <w:b/>
                <w:bCs/>
                <w:highlight w:val="none"/>
                <w:lang w:eastAsia="es-CO"/>
              </w:rPr>
            </w:pPr>
            <w:r>
              <w:rPr>
                <w:b/>
                <w:bCs/>
                <w:highlight w:val="none"/>
                <w:lang w:eastAsia="es-CO"/>
              </w:rPr>
              <w:t>Amount of emission reductions or removals achieved by the project in this monitoring period</w:t>
            </w:r>
          </w:p>
        </w:tc>
        <w:tc>
          <w:tcPr>
            <w:tcW w:w="3036" w:type="pct"/>
            <w:shd w:val="clear" w:color="auto" w:fill="auto"/>
            <w:noWrap/>
            <w:vAlign w:val="center"/>
          </w:tcPr>
          <w:p w14:paraId="2F0DC0CF">
            <w:pPr>
              <w:spacing w:before="0" w:after="0"/>
              <w:rPr>
                <w:rFonts w:eastAsia="Calibri"/>
                <w:i/>
                <w:iCs/>
                <w:highlight w:val="none"/>
                <w:lang w:eastAsia="es-CO"/>
              </w:rPr>
            </w:pPr>
            <w:r>
              <w:rPr>
                <w:rFonts w:eastAsia="Calibri"/>
                <w:i/>
                <w:iCs/>
                <w:highlight w:val="none"/>
                <w:lang w:eastAsia="es-CO"/>
              </w:rPr>
              <w:t xml:space="preserve">Total of GHG reduction or removals in this monitoring period </w:t>
            </w:r>
            <w:r>
              <w:rPr>
                <w:rFonts w:hint="default"/>
                <w:color w:val="000000" w:themeColor="text1"/>
                <w:highlight w:val="none"/>
                <w14:textFill>
                  <w14:solidFill>
                    <w14:schemeClr w14:val="tx1"/>
                  </w14:solidFill>
                </w14:textFill>
              </w:rPr>
              <w:t>59,57</w:t>
            </w:r>
            <w:r>
              <w:rPr>
                <w:rFonts w:hint="default"/>
                <w:color w:val="000000" w:themeColor="text1"/>
                <w:highlight w:val="none"/>
                <w:lang w:val="es-ES"/>
                <w14:textFill>
                  <w14:solidFill>
                    <w14:schemeClr w14:val="tx1"/>
                  </w14:solidFill>
                </w14:textFill>
              </w:rPr>
              <w:t>4</w:t>
            </w:r>
            <w:r>
              <w:rPr>
                <w:color w:val="000000" w:themeColor="text1"/>
                <w:highlight w:val="none"/>
                <w14:textFill>
                  <w14:solidFill>
                    <w14:schemeClr w14:val="tx1"/>
                  </w14:solidFill>
                </w14:textFill>
              </w:rPr>
              <w:t xml:space="preserve"> </w:t>
            </w:r>
            <w:r>
              <w:rPr>
                <w:color w:val="000000"/>
                <w:highlight w:val="none"/>
              </w:rPr>
              <w:t>tCO</w:t>
            </w:r>
            <w:r>
              <w:rPr>
                <w:color w:val="000000"/>
                <w:highlight w:val="none"/>
                <w:vertAlign w:val="subscript"/>
              </w:rPr>
              <w:t>2</w:t>
            </w:r>
            <w:r>
              <w:rPr>
                <w:color w:val="000000"/>
                <w:highlight w:val="none"/>
              </w:rPr>
              <w:t>e</w:t>
            </w:r>
          </w:p>
        </w:tc>
      </w:tr>
      <w:tr w14:paraId="0C6AA09B">
        <w:trPr>
          <w:trHeight w:val="975" w:hRule="atLeast"/>
        </w:trPr>
        <w:tc>
          <w:tcPr>
            <w:tcW w:w="1964" w:type="pct"/>
            <w:shd w:val="clear" w:color="auto" w:fill="auto"/>
            <w:noWrap/>
            <w:vAlign w:val="center"/>
          </w:tcPr>
          <w:p w14:paraId="5D1EFFDC">
            <w:pPr>
              <w:spacing w:before="0" w:after="0"/>
              <w:rPr>
                <w:b/>
                <w:bCs/>
                <w:highlight w:val="none"/>
                <w:lang w:eastAsia="es-CO"/>
              </w:rPr>
            </w:pPr>
            <w:r>
              <w:rPr>
                <w:b/>
                <w:bCs/>
                <w:highlight w:val="none"/>
                <w:lang w:eastAsia="es-CO"/>
              </w:rPr>
              <w:t>Contribution to Sustainable Development Goals</w:t>
            </w:r>
          </w:p>
        </w:tc>
        <w:tc>
          <w:tcPr>
            <w:tcW w:w="3036" w:type="pct"/>
            <w:shd w:val="clear" w:color="auto" w:fill="auto"/>
            <w:noWrap/>
            <w:vAlign w:val="center"/>
          </w:tcPr>
          <w:p w14:paraId="772BE700">
            <w:pPr>
              <w:spacing w:before="0" w:after="0"/>
              <w:rPr>
                <w:color w:val="000000"/>
                <w:highlight w:val="none"/>
              </w:rPr>
            </w:pPr>
            <w:r>
              <w:rPr>
                <w:color w:val="000000"/>
                <w:highlight w:val="none"/>
              </w:rPr>
              <w:t>9. Build resilient infrastructure, promote inclusive and sustainable industrialization and foster innovation.</w:t>
            </w:r>
          </w:p>
          <w:p w14:paraId="6A49E907">
            <w:pPr>
              <w:rPr>
                <w:color w:val="000000"/>
                <w:highlight w:val="none"/>
              </w:rPr>
            </w:pPr>
            <w:r>
              <w:rPr>
                <w:color w:val="000000"/>
                <w:highlight w:val="none"/>
              </w:rPr>
              <w:t>11. Make cities and human settlements inclusive, safe, resilient and sustainable.</w:t>
            </w:r>
          </w:p>
          <w:p w14:paraId="307D9F77">
            <w:pPr>
              <w:rPr>
                <w:color w:val="000000"/>
                <w:highlight w:val="none"/>
              </w:rPr>
            </w:pPr>
            <w:r>
              <w:rPr>
                <w:color w:val="000000"/>
                <w:highlight w:val="none"/>
              </w:rPr>
              <w:t>12. Ensure sustainable consumption and production patterns.</w:t>
            </w:r>
          </w:p>
          <w:p w14:paraId="094A8F5D">
            <w:pPr>
              <w:spacing w:before="0" w:after="0"/>
              <w:rPr>
                <w:highlight w:val="none"/>
                <w:lang w:eastAsia="es-CO"/>
              </w:rPr>
            </w:pPr>
            <w:r>
              <w:rPr>
                <w:color w:val="000000"/>
                <w:highlight w:val="none"/>
              </w:rPr>
              <w:t>13. Take urgent action to combat climate change and its impacts.</w:t>
            </w:r>
          </w:p>
        </w:tc>
      </w:tr>
      <w:tr w14:paraId="72470C04">
        <w:trPr>
          <w:trHeight w:val="1008" w:hRule="atLeast"/>
        </w:trPr>
        <w:tc>
          <w:tcPr>
            <w:tcW w:w="1964" w:type="pct"/>
            <w:shd w:val="clear" w:color="auto" w:fill="auto"/>
            <w:noWrap/>
            <w:vAlign w:val="center"/>
          </w:tcPr>
          <w:p w14:paraId="779692F9">
            <w:pPr>
              <w:spacing w:before="0" w:after="0"/>
              <w:rPr>
                <w:b/>
                <w:bCs/>
                <w:highlight w:val="none"/>
                <w:lang w:eastAsia="es-CO"/>
              </w:rPr>
            </w:pPr>
            <w:r>
              <w:rPr>
                <w:b/>
                <w:bCs/>
                <w:highlight w:val="none"/>
                <w:lang w:eastAsia="es-CO"/>
              </w:rPr>
              <w:t>Special category, related to co-benefits</w:t>
            </w:r>
          </w:p>
        </w:tc>
        <w:tc>
          <w:tcPr>
            <w:tcW w:w="3036" w:type="pct"/>
            <w:shd w:val="clear" w:color="auto" w:fill="auto"/>
            <w:noWrap/>
            <w:vAlign w:val="center"/>
          </w:tcPr>
          <w:p w14:paraId="6691611A">
            <w:pPr>
              <w:spacing w:before="0" w:after="0"/>
              <w:rPr>
                <w:highlight w:val="none"/>
                <w:lang w:eastAsia="es-CO"/>
              </w:rPr>
            </w:pPr>
            <w:r>
              <w:rPr>
                <w:highlight w:val="none"/>
                <w:lang w:eastAsia="es-CO"/>
              </w:rPr>
              <w:t>not applicable</w:t>
            </w:r>
          </w:p>
        </w:tc>
      </w:tr>
    </w:tbl>
    <w:p w14:paraId="0DF87618">
      <w:pPr>
        <w:rPr>
          <w:highlight w:val="none"/>
        </w:rPr>
      </w:pPr>
    </w:p>
    <w:p w14:paraId="5F0C9898">
      <w:pPr>
        <w:rPr>
          <w:highlight w:val="none"/>
        </w:rPr>
        <w:sectPr>
          <w:headerReference r:id="rId6" w:type="first"/>
          <w:footerReference r:id="rId9" w:type="first"/>
          <w:headerReference r:id="rId5" w:type="default"/>
          <w:footerReference r:id="rId7" w:type="default"/>
          <w:footerReference r:id="rId8" w:type="even"/>
          <w:pgSz w:w="12240" w:h="15840"/>
          <w:pgMar w:top="1985" w:right="1871" w:bottom="1701" w:left="1871" w:header="709" w:footer="709" w:gutter="0"/>
          <w:cols w:space="708" w:num="1"/>
          <w:titlePg/>
          <w:docGrid w:linePitch="360" w:charSpace="0"/>
        </w:sectPr>
      </w:pPr>
    </w:p>
    <w:p w14:paraId="5A0EF3EB">
      <w:pPr>
        <w:pStyle w:val="84"/>
        <w:rPr>
          <w:rFonts w:ascii="Arial" w:hAnsi="Arial" w:cs="Arial"/>
          <w:b/>
          <w:bCs/>
          <w:sz w:val="28"/>
          <w:szCs w:val="28"/>
          <w:highlight w:val="none"/>
          <w:lang w:val="en-US"/>
        </w:rPr>
      </w:pPr>
      <w:r>
        <w:rPr>
          <w:rFonts w:ascii="Arial" w:hAnsi="Arial" w:cs="Arial"/>
          <w:b/>
          <w:bCs/>
          <w:sz w:val="28"/>
          <w:szCs w:val="28"/>
          <w:highlight w:val="none"/>
          <w:lang w:val="en-US"/>
        </w:rPr>
        <w:t>Table of contents</w:t>
      </w:r>
    </w:p>
    <w:sdt>
      <w:sdtPr>
        <w:rPr>
          <w:rFonts w:ascii="Arial" w:hAnsi="Arial" w:cs="Arial" w:eastAsiaTheme="minorEastAsia"/>
          <w:color w:val="auto"/>
          <w:sz w:val="22"/>
          <w:szCs w:val="22"/>
          <w:highlight w:val="none"/>
          <w:lang w:val="en-US" w:eastAsia="en-US"/>
        </w:rPr>
        <w:id w:val="116735177"/>
        <w:docPartObj>
          <w:docPartGallery w:val="Table of Contents"/>
          <w:docPartUnique/>
        </w:docPartObj>
      </w:sdtPr>
      <w:sdtEndPr>
        <w:rPr>
          <w:rFonts w:ascii="Arial" w:hAnsi="Arial" w:cs="Arial" w:eastAsiaTheme="minorEastAsia"/>
          <w:b/>
          <w:bCs/>
          <w:color w:val="auto"/>
          <w:sz w:val="22"/>
          <w:szCs w:val="22"/>
          <w:highlight w:val="none"/>
          <w:lang w:val="en-US" w:eastAsia="en-US"/>
        </w:rPr>
      </w:sdtEndPr>
      <w:sdtContent>
        <w:p w14:paraId="5D13B76E">
          <w:pPr>
            <w:pStyle w:val="84"/>
            <w:rPr>
              <w:highlight w:val="none"/>
              <w:lang w:val="en-US"/>
            </w:rPr>
          </w:pPr>
        </w:p>
        <w:p w14:paraId="02948FF1">
          <w:pPr>
            <w:pStyle w:val="25"/>
            <w:tabs>
              <w:tab w:val="right" w:leader="dot" w:pos="8498"/>
              <w:tab w:val="clear" w:pos="440"/>
              <w:tab w:val="clear" w:pos="8488"/>
            </w:tabs>
            <w:rPr>
              <w:highlight w:val="none"/>
            </w:rPr>
          </w:pPr>
          <w:r>
            <w:rPr>
              <w:highlight w:val="none"/>
              <w:lang w:val="en-US"/>
            </w:rPr>
            <w:fldChar w:fldCharType="begin"/>
          </w:r>
          <w:r>
            <w:rPr>
              <w:highlight w:val="none"/>
              <w:lang w:val="en-US"/>
            </w:rPr>
            <w:instrText xml:space="preserve"> TOC \o "1-3" \h \z \u </w:instrText>
          </w:r>
          <w:r>
            <w:rPr>
              <w:highlight w:val="none"/>
              <w:lang w:val="en-US"/>
            </w:rPr>
            <w:fldChar w:fldCharType="separate"/>
          </w:r>
          <w:r>
            <w:rPr>
              <w:highlight w:val="none"/>
              <w:lang w:val="en-US"/>
            </w:rPr>
            <w:fldChar w:fldCharType="begin"/>
          </w:r>
          <w:r>
            <w:rPr>
              <w:highlight w:val="none"/>
              <w:lang w:val="en-US"/>
            </w:rPr>
            <w:instrText xml:space="preserve"> HYPERLINK \l _Toc1107456586 </w:instrText>
          </w:r>
          <w:r>
            <w:rPr>
              <w:highlight w:val="none"/>
              <w:lang w:val="en-US"/>
            </w:rPr>
            <w:fldChar w:fldCharType="separate"/>
          </w:r>
          <w:r>
            <w:rPr>
              <w:rFonts w:hint="default"/>
              <w:highlight w:val="none"/>
            </w:rPr>
            <w:t xml:space="preserve">1 </w:t>
          </w:r>
          <w:r>
            <w:rPr>
              <w:highlight w:val="none"/>
            </w:rPr>
            <w:t>General description of project</w:t>
          </w:r>
          <w:r>
            <w:rPr>
              <w:highlight w:val="none"/>
            </w:rPr>
            <w:tab/>
          </w:r>
          <w:r>
            <w:rPr>
              <w:highlight w:val="none"/>
            </w:rPr>
            <w:fldChar w:fldCharType="begin"/>
          </w:r>
          <w:r>
            <w:rPr>
              <w:highlight w:val="none"/>
            </w:rPr>
            <w:instrText xml:space="preserve"> PAGEREF _Toc1107456586 \h </w:instrText>
          </w:r>
          <w:r>
            <w:rPr>
              <w:highlight w:val="none"/>
            </w:rPr>
            <w:fldChar w:fldCharType="separate"/>
          </w:r>
          <w:r>
            <w:rPr>
              <w:highlight w:val="none"/>
            </w:rPr>
            <w:t>5</w:t>
          </w:r>
          <w:r>
            <w:rPr>
              <w:highlight w:val="none"/>
            </w:rPr>
            <w:fldChar w:fldCharType="end"/>
          </w:r>
          <w:r>
            <w:rPr>
              <w:highlight w:val="none"/>
              <w:lang w:val="en-US"/>
            </w:rPr>
            <w:fldChar w:fldCharType="end"/>
          </w:r>
        </w:p>
        <w:p w14:paraId="4510F682">
          <w:pPr>
            <w:pStyle w:val="26"/>
            <w:tabs>
              <w:tab w:val="right" w:leader="dot" w:pos="8498"/>
            </w:tabs>
            <w:rPr>
              <w:highlight w:val="none"/>
            </w:rPr>
          </w:pPr>
          <w:r>
            <w:rPr>
              <w:bCs/>
              <w:highlight w:val="none"/>
            </w:rPr>
            <w:fldChar w:fldCharType="begin"/>
          </w:r>
          <w:r>
            <w:rPr>
              <w:bCs/>
              <w:highlight w:val="none"/>
            </w:rPr>
            <w:instrText xml:space="preserve"> HYPERLINK \l _Toc782072353 </w:instrText>
          </w:r>
          <w:r>
            <w:rPr>
              <w:bCs/>
              <w:highlight w:val="none"/>
            </w:rPr>
            <w:fldChar w:fldCharType="separate"/>
          </w:r>
          <w:r>
            <w:rPr>
              <w:rFonts w:hint="default" w:eastAsia="Calibri"/>
              <w:highlight w:val="none"/>
            </w:rPr>
            <w:t xml:space="preserve">1.1 </w:t>
          </w:r>
          <w:r>
            <w:rPr>
              <w:rFonts w:eastAsia="Calibri"/>
              <w:highlight w:val="none"/>
            </w:rPr>
            <w:t>Sectoral scope and project type</w:t>
          </w:r>
          <w:r>
            <w:rPr>
              <w:highlight w:val="none"/>
            </w:rPr>
            <w:tab/>
          </w:r>
          <w:r>
            <w:rPr>
              <w:highlight w:val="none"/>
            </w:rPr>
            <w:fldChar w:fldCharType="begin"/>
          </w:r>
          <w:r>
            <w:rPr>
              <w:highlight w:val="none"/>
            </w:rPr>
            <w:instrText xml:space="preserve"> PAGEREF _Toc782072353 \h </w:instrText>
          </w:r>
          <w:r>
            <w:rPr>
              <w:highlight w:val="none"/>
            </w:rPr>
            <w:fldChar w:fldCharType="separate"/>
          </w:r>
          <w:r>
            <w:rPr>
              <w:highlight w:val="none"/>
            </w:rPr>
            <w:t>5</w:t>
          </w:r>
          <w:r>
            <w:rPr>
              <w:highlight w:val="none"/>
            </w:rPr>
            <w:fldChar w:fldCharType="end"/>
          </w:r>
          <w:r>
            <w:rPr>
              <w:bCs/>
              <w:highlight w:val="none"/>
            </w:rPr>
            <w:fldChar w:fldCharType="end"/>
          </w:r>
        </w:p>
        <w:p w14:paraId="2F8995A1">
          <w:pPr>
            <w:pStyle w:val="26"/>
            <w:tabs>
              <w:tab w:val="right" w:leader="dot" w:pos="8498"/>
            </w:tabs>
            <w:rPr>
              <w:highlight w:val="none"/>
            </w:rPr>
          </w:pPr>
          <w:r>
            <w:rPr>
              <w:bCs/>
              <w:highlight w:val="none"/>
            </w:rPr>
            <w:fldChar w:fldCharType="begin"/>
          </w:r>
          <w:r>
            <w:rPr>
              <w:bCs/>
              <w:highlight w:val="none"/>
            </w:rPr>
            <w:instrText xml:space="preserve"> HYPERLINK \l _Toc1690117231 </w:instrText>
          </w:r>
          <w:r>
            <w:rPr>
              <w:bCs/>
              <w:highlight w:val="none"/>
            </w:rPr>
            <w:fldChar w:fldCharType="separate"/>
          </w:r>
          <w:r>
            <w:rPr>
              <w:rFonts w:hint="default" w:eastAsia="Calibri"/>
              <w:highlight w:val="none"/>
            </w:rPr>
            <w:t xml:space="preserve">1.2 </w:t>
          </w:r>
          <w:r>
            <w:rPr>
              <w:rFonts w:eastAsia="Calibri"/>
              <w:highlight w:val="none"/>
            </w:rPr>
            <w:t>Project start date</w:t>
          </w:r>
          <w:r>
            <w:rPr>
              <w:highlight w:val="none"/>
            </w:rPr>
            <w:tab/>
          </w:r>
          <w:r>
            <w:rPr>
              <w:highlight w:val="none"/>
            </w:rPr>
            <w:fldChar w:fldCharType="begin"/>
          </w:r>
          <w:r>
            <w:rPr>
              <w:highlight w:val="none"/>
            </w:rPr>
            <w:instrText xml:space="preserve"> PAGEREF _Toc1690117231 \h </w:instrText>
          </w:r>
          <w:r>
            <w:rPr>
              <w:highlight w:val="none"/>
            </w:rPr>
            <w:fldChar w:fldCharType="separate"/>
          </w:r>
          <w:r>
            <w:rPr>
              <w:highlight w:val="none"/>
            </w:rPr>
            <w:t>5</w:t>
          </w:r>
          <w:r>
            <w:rPr>
              <w:highlight w:val="none"/>
            </w:rPr>
            <w:fldChar w:fldCharType="end"/>
          </w:r>
          <w:r>
            <w:rPr>
              <w:bCs/>
              <w:highlight w:val="none"/>
            </w:rPr>
            <w:fldChar w:fldCharType="end"/>
          </w:r>
        </w:p>
        <w:p w14:paraId="61D6AF24">
          <w:pPr>
            <w:pStyle w:val="26"/>
            <w:tabs>
              <w:tab w:val="right" w:leader="dot" w:pos="8498"/>
            </w:tabs>
            <w:rPr>
              <w:highlight w:val="none"/>
            </w:rPr>
          </w:pPr>
          <w:r>
            <w:rPr>
              <w:bCs/>
              <w:highlight w:val="none"/>
            </w:rPr>
            <w:fldChar w:fldCharType="begin"/>
          </w:r>
          <w:r>
            <w:rPr>
              <w:bCs/>
              <w:highlight w:val="none"/>
            </w:rPr>
            <w:instrText xml:space="preserve"> HYPERLINK \l _Toc1034102548 </w:instrText>
          </w:r>
          <w:r>
            <w:rPr>
              <w:bCs/>
              <w:highlight w:val="none"/>
            </w:rPr>
            <w:fldChar w:fldCharType="separate"/>
          </w:r>
          <w:r>
            <w:rPr>
              <w:rFonts w:hint="default" w:eastAsia="Calibri"/>
              <w:highlight w:val="none"/>
            </w:rPr>
            <w:t xml:space="preserve">1.3 </w:t>
          </w:r>
          <w:r>
            <w:rPr>
              <w:rFonts w:eastAsia="Calibri"/>
              <w:highlight w:val="none"/>
            </w:rPr>
            <w:t>Project quantification period</w:t>
          </w:r>
          <w:r>
            <w:rPr>
              <w:highlight w:val="none"/>
            </w:rPr>
            <w:tab/>
          </w:r>
          <w:r>
            <w:rPr>
              <w:highlight w:val="none"/>
            </w:rPr>
            <w:fldChar w:fldCharType="begin"/>
          </w:r>
          <w:r>
            <w:rPr>
              <w:highlight w:val="none"/>
            </w:rPr>
            <w:instrText xml:space="preserve"> PAGEREF _Toc1034102548 \h </w:instrText>
          </w:r>
          <w:r>
            <w:rPr>
              <w:highlight w:val="none"/>
            </w:rPr>
            <w:fldChar w:fldCharType="separate"/>
          </w:r>
          <w:r>
            <w:rPr>
              <w:highlight w:val="none"/>
            </w:rPr>
            <w:t>5</w:t>
          </w:r>
          <w:r>
            <w:rPr>
              <w:highlight w:val="none"/>
            </w:rPr>
            <w:fldChar w:fldCharType="end"/>
          </w:r>
          <w:r>
            <w:rPr>
              <w:bCs/>
              <w:highlight w:val="none"/>
            </w:rPr>
            <w:fldChar w:fldCharType="end"/>
          </w:r>
        </w:p>
        <w:p w14:paraId="092113D4">
          <w:pPr>
            <w:pStyle w:val="26"/>
            <w:tabs>
              <w:tab w:val="right" w:leader="dot" w:pos="8498"/>
            </w:tabs>
            <w:rPr>
              <w:highlight w:val="none"/>
            </w:rPr>
          </w:pPr>
          <w:r>
            <w:rPr>
              <w:bCs/>
              <w:highlight w:val="none"/>
            </w:rPr>
            <w:fldChar w:fldCharType="begin"/>
          </w:r>
          <w:r>
            <w:rPr>
              <w:bCs/>
              <w:highlight w:val="none"/>
            </w:rPr>
            <w:instrText xml:space="preserve"> HYPERLINK \l _Toc576369065 </w:instrText>
          </w:r>
          <w:r>
            <w:rPr>
              <w:bCs/>
              <w:highlight w:val="none"/>
            </w:rPr>
            <w:fldChar w:fldCharType="separate"/>
          </w:r>
          <w:r>
            <w:rPr>
              <w:rFonts w:hint="default" w:eastAsia="Calibri"/>
              <w:highlight w:val="none"/>
            </w:rPr>
            <w:t xml:space="preserve">1.4 </w:t>
          </w:r>
          <w:r>
            <w:rPr>
              <w:rFonts w:eastAsia="Calibri"/>
              <w:highlight w:val="none"/>
            </w:rPr>
            <w:t>Project location and project boundaries</w:t>
          </w:r>
          <w:r>
            <w:rPr>
              <w:highlight w:val="none"/>
            </w:rPr>
            <w:tab/>
          </w:r>
          <w:r>
            <w:rPr>
              <w:highlight w:val="none"/>
            </w:rPr>
            <w:fldChar w:fldCharType="begin"/>
          </w:r>
          <w:r>
            <w:rPr>
              <w:highlight w:val="none"/>
            </w:rPr>
            <w:instrText xml:space="preserve"> PAGEREF _Toc576369065 \h </w:instrText>
          </w:r>
          <w:r>
            <w:rPr>
              <w:highlight w:val="none"/>
            </w:rPr>
            <w:fldChar w:fldCharType="separate"/>
          </w:r>
          <w:r>
            <w:rPr>
              <w:highlight w:val="none"/>
            </w:rPr>
            <w:t>5</w:t>
          </w:r>
          <w:r>
            <w:rPr>
              <w:highlight w:val="none"/>
            </w:rPr>
            <w:fldChar w:fldCharType="end"/>
          </w:r>
          <w:r>
            <w:rPr>
              <w:bCs/>
              <w:highlight w:val="none"/>
            </w:rPr>
            <w:fldChar w:fldCharType="end"/>
          </w:r>
        </w:p>
        <w:p w14:paraId="3FFB4162">
          <w:pPr>
            <w:pStyle w:val="26"/>
            <w:tabs>
              <w:tab w:val="right" w:leader="dot" w:pos="8498"/>
            </w:tabs>
            <w:rPr>
              <w:highlight w:val="none"/>
            </w:rPr>
          </w:pPr>
          <w:r>
            <w:rPr>
              <w:bCs/>
              <w:highlight w:val="none"/>
            </w:rPr>
            <w:fldChar w:fldCharType="begin"/>
          </w:r>
          <w:r>
            <w:rPr>
              <w:bCs/>
              <w:highlight w:val="none"/>
            </w:rPr>
            <w:instrText xml:space="preserve"> HYPERLINK \l _Toc1883627485 </w:instrText>
          </w:r>
          <w:r>
            <w:rPr>
              <w:bCs/>
              <w:highlight w:val="none"/>
            </w:rPr>
            <w:fldChar w:fldCharType="separate"/>
          </w:r>
          <w:r>
            <w:rPr>
              <w:rFonts w:hint="default" w:eastAsia="Calibri"/>
              <w:highlight w:val="none"/>
            </w:rPr>
            <w:t xml:space="preserve">1.5 </w:t>
          </w:r>
          <w:r>
            <w:rPr>
              <w:rFonts w:eastAsia="Calibri"/>
              <w:highlight w:val="none"/>
            </w:rPr>
            <w:t>Summary Description of the Implementation Status of the Project</w:t>
          </w:r>
          <w:r>
            <w:rPr>
              <w:highlight w:val="none"/>
            </w:rPr>
            <w:tab/>
          </w:r>
          <w:r>
            <w:rPr>
              <w:highlight w:val="none"/>
            </w:rPr>
            <w:fldChar w:fldCharType="begin"/>
          </w:r>
          <w:r>
            <w:rPr>
              <w:highlight w:val="none"/>
            </w:rPr>
            <w:instrText xml:space="preserve"> PAGEREF _Toc1883627485 \h </w:instrText>
          </w:r>
          <w:r>
            <w:rPr>
              <w:highlight w:val="none"/>
            </w:rPr>
            <w:fldChar w:fldCharType="separate"/>
          </w:r>
          <w:r>
            <w:rPr>
              <w:highlight w:val="none"/>
            </w:rPr>
            <w:t>7</w:t>
          </w:r>
          <w:r>
            <w:rPr>
              <w:highlight w:val="none"/>
            </w:rPr>
            <w:fldChar w:fldCharType="end"/>
          </w:r>
          <w:r>
            <w:rPr>
              <w:bCs/>
              <w:highlight w:val="none"/>
            </w:rPr>
            <w:fldChar w:fldCharType="end"/>
          </w:r>
        </w:p>
        <w:p w14:paraId="1EBA89C7">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_Toc2070699968 </w:instrText>
          </w:r>
          <w:r>
            <w:rPr>
              <w:bCs/>
              <w:highlight w:val="none"/>
            </w:rPr>
            <w:fldChar w:fldCharType="separate"/>
          </w:r>
          <w:r>
            <w:rPr>
              <w:rFonts w:hint="default"/>
              <w:highlight w:val="none"/>
            </w:rPr>
            <w:t xml:space="preserve">2 </w:t>
          </w:r>
          <w:r>
            <w:rPr>
              <w:highlight w:val="none"/>
            </w:rPr>
            <w:t>Title, reference and version of the baseline and monitoring methodology applied to the project</w:t>
          </w:r>
          <w:r>
            <w:rPr>
              <w:highlight w:val="none"/>
            </w:rPr>
            <w:tab/>
          </w:r>
          <w:r>
            <w:rPr>
              <w:highlight w:val="none"/>
            </w:rPr>
            <w:fldChar w:fldCharType="begin"/>
          </w:r>
          <w:r>
            <w:rPr>
              <w:highlight w:val="none"/>
            </w:rPr>
            <w:instrText xml:space="preserve"> PAGEREF _Toc2070699968 \h </w:instrText>
          </w:r>
          <w:r>
            <w:rPr>
              <w:highlight w:val="none"/>
            </w:rPr>
            <w:fldChar w:fldCharType="separate"/>
          </w:r>
          <w:r>
            <w:rPr>
              <w:highlight w:val="none"/>
            </w:rPr>
            <w:t>8</w:t>
          </w:r>
          <w:r>
            <w:rPr>
              <w:highlight w:val="none"/>
            </w:rPr>
            <w:fldChar w:fldCharType="end"/>
          </w:r>
          <w:r>
            <w:rPr>
              <w:bCs/>
              <w:highlight w:val="none"/>
            </w:rPr>
            <w:fldChar w:fldCharType="end"/>
          </w:r>
        </w:p>
        <w:p w14:paraId="740FC4A7">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_Toc134378894 </w:instrText>
          </w:r>
          <w:r>
            <w:rPr>
              <w:bCs/>
              <w:highlight w:val="none"/>
            </w:rPr>
            <w:fldChar w:fldCharType="separate"/>
          </w:r>
          <w:r>
            <w:rPr>
              <w:rFonts w:hint="default"/>
              <w:highlight w:val="none"/>
            </w:rPr>
            <w:t xml:space="preserve">3 </w:t>
          </w:r>
          <w:r>
            <w:rPr>
              <w:highlight w:val="none"/>
            </w:rPr>
            <w:t>Registry or participation under other GHG Programs/Registries</w:t>
          </w:r>
          <w:r>
            <w:rPr>
              <w:highlight w:val="none"/>
            </w:rPr>
            <w:tab/>
          </w:r>
          <w:r>
            <w:rPr>
              <w:highlight w:val="none"/>
            </w:rPr>
            <w:fldChar w:fldCharType="begin"/>
          </w:r>
          <w:r>
            <w:rPr>
              <w:highlight w:val="none"/>
            </w:rPr>
            <w:instrText xml:space="preserve"> PAGEREF _Toc134378894 \h </w:instrText>
          </w:r>
          <w:r>
            <w:rPr>
              <w:highlight w:val="none"/>
            </w:rPr>
            <w:fldChar w:fldCharType="separate"/>
          </w:r>
          <w:r>
            <w:rPr>
              <w:highlight w:val="none"/>
            </w:rPr>
            <w:t>8</w:t>
          </w:r>
          <w:r>
            <w:rPr>
              <w:highlight w:val="none"/>
            </w:rPr>
            <w:fldChar w:fldCharType="end"/>
          </w:r>
          <w:r>
            <w:rPr>
              <w:bCs/>
              <w:highlight w:val="none"/>
            </w:rPr>
            <w:fldChar w:fldCharType="end"/>
          </w:r>
        </w:p>
        <w:p w14:paraId="06CA5C9D">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_Toc1500758461 </w:instrText>
          </w:r>
          <w:r>
            <w:rPr>
              <w:bCs/>
              <w:highlight w:val="none"/>
            </w:rPr>
            <w:fldChar w:fldCharType="separate"/>
          </w:r>
          <w:r>
            <w:rPr>
              <w:rFonts w:hint="default"/>
              <w:highlight w:val="none"/>
            </w:rPr>
            <w:t xml:space="preserve">4 </w:t>
          </w:r>
          <w:r>
            <w:rPr>
              <w:highlight w:val="none"/>
            </w:rPr>
            <w:t>Contribution to Sustainable Development Goals (SGD)</w:t>
          </w:r>
          <w:r>
            <w:rPr>
              <w:highlight w:val="none"/>
            </w:rPr>
            <w:tab/>
          </w:r>
          <w:r>
            <w:rPr>
              <w:highlight w:val="none"/>
            </w:rPr>
            <w:fldChar w:fldCharType="begin"/>
          </w:r>
          <w:r>
            <w:rPr>
              <w:highlight w:val="none"/>
            </w:rPr>
            <w:instrText xml:space="preserve"> PAGEREF _Toc1500758461 \h </w:instrText>
          </w:r>
          <w:r>
            <w:rPr>
              <w:highlight w:val="none"/>
            </w:rPr>
            <w:fldChar w:fldCharType="separate"/>
          </w:r>
          <w:r>
            <w:rPr>
              <w:highlight w:val="none"/>
            </w:rPr>
            <w:t>9</w:t>
          </w:r>
          <w:r>
            <w:rPr>
              <w:highlight w:val="none"/>
            </w:rPr>
            <w:fldChar w:fldCharType="end"/>
          </w:r>
          <w:r>
            <w:rPr>
              <w:bCs/>
              <w:highlight w:val="none"/>
            </w:rPr>
            <w:fldChar w:fldCharType="end"/>
          </w:r>
        </w:p>
        <w:p w14:paraId="60E97D4E">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_Toc1052020012 </w:instrText>
          </w:r>
          <w:r>
            <w:rPr>
              <w:bCs/>
              <w:highlight w:val="none"/>
            </w:rPr>
            <w:fldChar w:fldCharType="separate"/>
          </w:r>
          <w:r>
            <w:rPr>
              <w:rFonts w:hint="default"/>
              <w:highlight w:val="none"/>
            </w:rPr>
            <w:t xml:space="preserve">5 </w:t>
          </w:r>
          <w:r>
            <w:rPr>
              <w:rFonts w:hint="default"/>
              <w:highlight w:val="none"/>
              <w:lang w:val="es-ES"/>
            </w:rPr>
            <w:t>Com</w:t>
          </w:r>
          <w:r>
            <w:rPr>
              <w:highlight w:val="none"/>
            </w:rPr>
            <w:t>pliance with Applicable Legislation</w:t>
          </w:r>
          <w:r>
            <w:rPr>
              <w:highlight w:val="none"/>
            </w:rPr>
            <w:tab/>
          </w:r>
          <w:r>
            <w:rPr>
              <w:highlight w:val="none"/>
            </w:rPr>
            <w:fldChar w:fldCharType="begin"/>
          </w:r>
          <w:r>
            <w:rPr>
              <w:highlight w:val="none"/>
            </w:rPr>
            <w:instrText xml:space="preserve"> PAGEREF _Toc1052020012 \h </w:instrText>
          </w:r>
          <w:r>
            <w:rPr>
              <w:highlight w:val="none"/>
            </w:rPr>
            <w:fldChar w:fldCharType="separate"/>
          </w:r>
          <w:r>
            <w:rPr>
              <w:highlight w:val="none"/>
            </w:rPr>
            <w:t>10</w:t>
          </w:r>
          <w:r>
            <w:rPr>
              <w:highlight w:val="none"/>
            </w:rPr>
            <w:fldChar w:fldCharType="end"/>
          </w:r>
          <w:r>
            <w:rPr>
              <w:bCs/>
              <w:highlight w:val="none"/>
            </w:rPr>
            <w:fldChar w:fldCharType="end"/>
          </w:r>
        </w:p>
        <w:p w14:paraId="6C8AC2CA">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_Toc1067475933 </w:instrText>
          </w:r>
          <w:r>
            <w:rPr>
              <w:bCs/>
              <w:highlight w:val="none"/>
            </w:rPr>
            <w:fldChar w:fldCharType="separate"/>
          </w:r>
          <w:r>
            <w:rPr>
              <w:rFonts w:hint="default"/>
              <w:highlight w:val="none"/>
            </w:rPr>
            <w:t xml:space="preserve">6 </w:t>
          </w:r>
          <w:r>
            <w:rPr>
              <w:highlight w:val="none"/>
            </w:rPr>
            <w:t>Climate change adaptation</w:t>
          </w:r>
          <w:r>
            <w:rPr>
              <w:highlight w:val="none"/>
            </w:rPr>
            <w:tab/>
          </w:r>
          <w:r>
            <w:rPr>
              <w:highlight w:val="none"/>
            </w:rPr>
            <w:fldChar w:fldCharType="begin"/>
          </w:r>
          <w:r>
            <w:rPr>
              <w:highlight w:val="none"/>
            </w:rPr>
            <w:instrText xml:space="preserve"> PAGEREF _Toc1067475933 \h </w:instrText>
          </w:r>
          <w:r>
            <w:rPr>
              <w:highlight w:val="none"/>
            </w:rPr>
            <w:fldChar w:fldCharType="separate"/>
          </w:r>
          <w:r>
            <w:rPr>
              <w:highlight w:val="none"/>
            </w:rPr>
            <w:t>11</w:t>
          </w:r>
          <w:r>
            <w:rPr>
              <w:highlight w:val="none"/>
            </w:rPr>
            <w:fldChar w:fldCharType="end"/>
          </w:r>
          <w:r>
            <w:rPr>
              <w:bCs/>
              <w:highlight w:val="none"/>
            </w:rPr>
            <w:fldChar w:fldCharType="end"/>
          </w:r>
        </w:p>
        <w:p w14:paraId="50DA0B4A">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_Toc989618893 </w:instrText>
          </w:r>
          <w:r>
            <w:rPr>
              <w:bCs/>
              <w:highlight w:val="none"/>
            </w:rPr>
            <w:fldChar w:fldCharType="separate"/>
          </w:r>
          <w:r>
            <w:rPr>
              <w:rFonts w:hint="default"/>
              <w:highlight w:val="none"/>
            </w:rPr>
            <w:t xml:space="preserve">7 </w:t>
          </w:r>
          <w:r>
            <w:rPr>
              <w:highlight w:val="none"/>
            </w:rPr>
            <w:t>Carbon ownership and</w:t>
          </w:r>
          <w:r>
            <w:rPr>
              <w:highlight w:val="none"/>
            </w:rPr>
            <w:t xml:space="preserve"> rights</w:t>
          </w:r>
          <w:r>
            <w:rPr>
              <w:highlight w:val="none"/>
            </w:rPr>
            <w:tab/>
          </w:r>
          <w:r>
            <w:rPr>
              <w:highlight w:val="none"/>
            </w:rPr>
            <w:fldChar w:fldCharType="begin"/>
          </w:r>
          <w:r>
            <w:rPr>
              <w:highlight w:val="none"/>
            </w:rPr>
            <w:instrText xml:space="preserve"> PAGEREF _Toc989618893 \h </w:instrText>
          </w:r>
          <w:r>
            <w:rPr>
              <w:highlight w:val="none"/>
            </w:rPr>
            <w:fldChar w:fldCharType="separate"/>
          </w:r>
          <w:r>
            <w:rPr>
              <w:highlight w:val="none"/>
            </w:rPr>
            <w:t>13</w:t>
          </w:r>
          <w:r>
            <w:rPr>
              <w:highlight w:val="none"/>
            </w:rPr>
            <w:fldChar w:fldCharType="end"/>
          </w:r>
          <w:r>
            <w:rPr>
              <w:bCs/>
              <w:highlight w:val="none"/>
            </w:rPr>
            <w:fldChar w:fldCharType="end"/>
          </w:r>
        </w:p>
        <w:p w14:paraId="3EC54049">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_Toc263888636 </w:instrText>
          </w:r>
          <w:r>
            <w:rPr>
              <w:bCs/>
              <w:highlight w:val="none"/>
            </w:rPr>
            <w:fldChar w:fldCharType="separate"/>
          </w:r>
          <w:r>
            <w:rPr>
              <w:rFonts w:hint="default"/>
              <w:highlight w:val="none"/>
            </w:rPr>
            <w:t xml:space="preserve">8 </w:t>
          </w:r>
          <w:r>
            <w:rPr>
              <w:highlight w:val="none"/>
            </w:rPr>
            <w:t>Environmental Aspects</w:t>
          </w:r>
          <w:r>
            <w:rPr>
              <w:highlight w:val="none"/>
            </w:rPr>
            <w:tab/>
          </w:r>
          <w:r>
            <w:rPr>
              <w:highlight w:val="none"/>
            </w:rPr>
            <w:fldChar w:fldCharType="begin"/>
          </w:r>
          <w:r>
            <w:rPr>
              <w:highlight w:val="none"/>
            </w:rPr>
            <w:instrText xml:space="preserve"> PAGEREF _Toc263888636 \h </w:instrText>
          </w:r>
          <w:r>
            <w:rPr>
              <w:highlight w:val="none"/>
            </w:rPr>
            <w:fldChar w:fldCharType="separate"/>
          </w:r>
          <w:r>
            <w:rPr>
              <w:highlight w:val="none"/>
            </w:rPr>
            <w:t>13</w:t>
          </w:r>
          <w:r>
            <w:rPr>
              <w:highlight w:val="none"/>
            </w:rPr>
            <w:fldChar w:fldCharType="end"/>
          </w:r>
          <w:r>
            <w:rPr>
              <w:bCs/>
              <w:highlight w:val="none"/>
            </w:rPr>
            <w:fldChar w:fldCharType="end"/>
          </w:r>
        </w:p>
        <w:p w14:paraId="04D0A382">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_Toc622574197 </w:instrText>
          </w:r>
          <w:r>
            <w:rPr>
              <w:bCs/>
              <w:highlight w:val="none"/>
            </w:rPr>
            <w:fldChar w:fldCharType="separate"/>
          </w:r>
          <w:r>
            <w:rPr>
              <w:rFonts w:hint="default"/>
              <w:highlight w:val="none"/>
            </w:rPr>
            <w:t xml:space="preserve">9 </w:t>
          </w:r>
          <w:r>
            <w:rPr>
              <w:highlight w:val="none"/>
            </w:rPr>
            <w:t>Socioeconomic Aspects</w:t>
          </w:r>
          <w:r>
            <w:rPr>
              <w:highlight w:val="none"/>
            </w:rPr>
            <w:tab/>
          </w:r>
          <w:r>
            <w:rPr>
              <w:highlight w:val="none"/>
            </w:rPr>
            <w:fldChar w:fldCharType="begin"/>
          </w:r>
          <w:r>
            <w:rPr>
              <w:highlight w:val="none"/>
            </w:rPr>
            <w:instrText xml:space="preserve"> PAGEREF _Toc622574197 \h </w:instrText>
          </w:r>
          <w:r>
            <w:rPr>
              <w:highlight w:val="none"/>
            </w:rPr>
            <w:fldChar w:fldCharType="separate"/>
          </w:r>
          <w:r>
            <w:rPr>
              <w:highlight w:val="none"/>
            </w:rPr>
            <w:t>20</w:t>
          </w:r>
          <w:r>
            <w:rPr>
              <w:highlight w:val="none"/>
            </w:rPr>
            <w:fldChar w:fldCharType="end"/>
          </w:r>
          <w:r>
            <w:rPr>
              <w:bCs/>
              <w:highlight w:val="none"/>
            </w:rPr>
            <w:fldChar w:fldCharType="end"/>
          </w:r>
        </w:p>
        <w:p w14:paraId="4400F40C">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_Toc1064200795 </w:instrText>
          </w:r>
          <w:r>
            <w:rPr>
              <w:bCs/>
              <w:highlight w:val="none"/>
            </w:rPr>
            <w:fldChar w:fldCharType="separate"/>
          </w:r>
          <w:r>
            <w:rPr>
              <w:rFonts w:hint="default"/>
              <w:highlight w:val="none"/>
            </w:rPr>
            <w:t xml:space="preserve">10 </w:t>
          </w:r>
          <w:r>
            <w:rPr>
              <w:highlight w:val="none"/>
            </w:rPr>
            <w:t>Stakeholders’ Consultation</w:t>
          </w:r>
          <w:r>
            <w:rPr>
              <w:highlight w:val="none"/>
            </w:rPr>
            <w:tab/>
          </w:r>
          <w:r>
            <w:rPr>
              <w:highlight w:val="none"/>
            </w:rPr>
            <w:fldChar w:fldCharType="begin"/>
          </w:r>
          <w:r>
            <w:rPr>
              <w:highlight w:val="none"/>
            </w:rPr>
            <w:instrText xml:space="preserve"> PAGEREF _Toc1064200795 \h </w:instrText>
          </w:r>
          <w:r>
            <w:rPr>
              <w:highlight w:val="none"/>
            </w:rPr>
            <w:fldChar w:fldCharType="separate"/>
          </w:r>
          <w:r>
            <w:rPr>
              <w:highlight w:val="none"/>
            </w:rPr>
            <w:t>21</w:t>
          </w:r>
          <w:r>
            <w:rPr>
              <w:highlight w:val="none"/>
            </w:rPr>
            <w:fldChar w:fldCharType="end"/>
          </w:r>
          <w:r>
            <w:rPr>
              <w:bCs/>
              <w:highlight w:val="none"/>
            </w:rPr>
            <w:fldChar w:fldCharType="end"/>
          </w:r>
        </w:p>
        <w:p w14:paraId="766BA8AC">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_Toc1778949349 </w:instrText>
          </w:r>
          <w:r>
            <w:rPr>
              <w:bCs/>
              <w:highlight w:val="none"/>
            </w:rPr>
            <w:fldChar w:fldCharType="separate"/>
          </w:r>
          <w:r>
            <w:rPr>
              <w:rFonts w:hint="default"/>
              <w:highlight w:val="none"/>
            </w:rPr>
            <w:t xml:space="preserve">11 </w:t>
          </w:r>
          <w:r>
            <w:rPr>
              <w:highlight w:val="none"/>
            </w:rPr>
            <w:t>REDD+ Safeguards</w:t>
          </w:r>
          <w:r>
            <w:rPr>
              <w:highlight w:val="none"/>
            </w:rPr>
            <w:tab/>
          </w:r>
          <w:r>
            <w:rPr>
              <w:highlight w:val="none"/>
            </w:rPr>
            <w:fldChar w:fldCharType="begin"/>
          </w:r>
          <w:r>
            <w:rPr>
              <w:highlight w:val="none"/>
            </w:rPr>
            <w:instrText xml:space="preserve"> PAGEREF _Toc1778949349 \h </w:instrText>
          </w:r>
          <w:r>
            <w:rPr>
              <w:highlight w:val="none"/>
            </w:rPr>
            <w:fldChar w:fldCharType="separate"/>
          </w:r>
          <w:r>
            <w:rPr>
              <w:highlight w:val="none"/>
            </w:rPr>
            <w:t>21</w:t>
          </w:r>
          <w:r>
            <w:rPr>
              <w:highlight w:val="none"/>
            </w:rPr>
            <w:fldChar w:fldCharType="end"/>
          </w:r>
          <w:r>
            <w:rPr>
              <w:bCs/>
              <w:highlight w:val="none"/>
            </w:rPr>
            <w:fldChar w:fldCharType="end"/>
          </w:r>
        </w:p>
        <w:p w14:paraId="3C53F8A2">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_Toc1534375109 </w:instrText>
          </w:r>
          <w:r>
            <w:rPr>
              <w:bCs/>
              <w:highlight w:val="none"/>
            </w:rPr>
            <w:fldChar w:fldCharType="separate"/>
          </w:r>
          <w:r>
            <w:rPr>
              <w:rFonts w:hint="default"/>
              <w:highlight w:val="none"/>
            </w:rPr>
            <w:t xml:space="preserve">12 </w:t>
          </w:r>
          <w:r>
            <w:rPr>
              <w:highlight w:val="none"/>
            </w:rPr>
            <w:t>Special categories, related to co-benefits</w:t>
          </w:r>
          <w:r>
            <w:rPr>
              <w:highlight w:val="none"/>
            </w:rPr>
            <w:tab/>
          </w:r>
          <w:r>
            <w:rPr>
              <w:highlight w:val="none"/>
            </w:rPr>
            <w:fldChar w:fldCharType="begin"/>
          </w:r>
          <w:r>
            <w:rPr>
              <w:highlight w:val="none"/>
            </w:rPr>
            <w:instrText xml:space="preserve"> PAGEREF _Toc1534375109 \h </w:instrText>
          </w:r>
          <w:r>
            <w:rPr>
              <w:highlight w:val="none"/>
            </w:rPr>
            <w:fldChar w:fldCharType="separate"/>
          </w:r>
          <w:r>
            <w:rPr>
              <w:highlight w:val="none"/>
            </w:rPr>
            <w:t>21</w:t>
          </w:r>
          <w:r>
            <w:rPr>
              <w:highlight w:val="none"/>
            </w:rPr>
            <w:fldChar w:fldCharType="end"/>
          </w:r>
          <w:r>
            <w:rPr>
              <w:bCs/>
              <w:highlight w:val="none"/>
            </w:rPr>
            <w:fldChar w:fldCharType="end"/>
          </w:r>
        </w:p>
        <w:p w14:paraId="1D533346">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_Toc1258823787 </w:instrText>
          </w:r>
          <w:r>
            <w:rPr>
              <w:bCs/>
              <w:highlight w:val="none"/>
            </w:rPr>
            <w:fldChar w:fldCharType="separate"/>
          </w:r>
          <w:r>
            <w:rPr>
              <w:rFonts w:hint="default"/>
              <w:highlight w:val="none"/>
            </w:rPr>
            <w:t xml:space="preserve">13 </w:t>
          </w:r>
          <w:r>
            <w:rPr>
              <w:highlight w:val="none"/>
            </w:rPr>
            <w:t>Grouped Projects</w:t>
          </w:r>
          <w:r>
            <w:rPr>
              <w:highlight w:val="none"/>
            </w:rPr>
            <w:tab/>
          </w:r>
          <w:r>
            <w:rPr>
              <w:highlight w:val="none"/>
            </w:rPr>
            <w:fldChar w:fldCharType="begin"/>
          </w:r>
          <w:r>
            <w:rPr>
              <w:highlight w:val="none"/>
            </w:rPr>
            <w:instrText xml:space="preserve"> PAGEREF _Toc1258823787 \h </w:instrText>
          </w:r>
          <w:r>
            <w:rPr>
              <w:highlight w:val="none"/>
            </w:rPr>
            <w:fldChar w:fldCharType="separate"/>
          </w:r>
          <w:r>
            <w:rPr>
              <w:highlight w:val="none"/>
            </w:rPr>
            <w:t>21</w:t>
          </w:r>
          <w:r>
            <w:rPr>
              <w:highlight w:val="none"/>
            </w:rPr>
            <w:fldChar w:fldCharType="end"/>
          </w:r>
          <w:r>
            <w:rPr>
              <w:bCs/>
              <w:highlight w:val="none"/>
            </w:rPr>
            <w:fldChar w:fldCharType="end"/>
          </w:r>
        </w:p>
        <w:p w14:paraId="4BC0B32B">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_Toc42497865 </w:instrText>
          </w:r>
          <w:r>
            <w:rPr>
              <w:bCs/>
              <w:highlight w:val="none"/>
            </w:rPr>
            <w:fldChar w:fldCharType="separate"/>
          </w:r>
          <w:r>
            <w:rPr>
              <w:rFonts w:hint="default"/>
              <w:highlight w:val="none"/>
            </w:rPr>
            <w:t xml:space="preserve">14 </w:t>
          </w:r>
          <w:r>
            <w:rPr>
              <w:highlight w:val="none"/>
            </w:rPr>
            <w:t>Implementation of the project</w:t>
          </w:r>
          <w:r>
            <w:rPr>
              <w:highlight w:val="none"/>
            </w:rPr>
            <w:tab/>
          </w:r>
          <w:r>
            <w:rPr>
              <w:highlight w:val="none"/>
            </w:rPr>
            <w:fldChar w:fldCharType="begin"/>
          </w:r>
          <w:r>
            <w:rPr>
              <w:highlight w:val="none"/>
            </w:rPr>
            <w:instrText xml:space="preserve"> PAGEREF _Toc42497865 \h </w:instrText>
          </w:r>
          <w:r>
            <w:rPr>
              <w:highlight w:val="none"/>
            </w:rPr>
            <w:fldChar w:fldCharType="separate"/>
          </w:r>
          <w:r>
            <w:rPr>
              <w:highlight w:val="none"/>
            </w:rPr>
            <w:t>21</w:t>
          </w:r>
          <w:r>
            <w:rPr>
              <w:highlight w:val="none"/>
            </w:rPr>
            <w:fldChar w:fldCharType="end"/>
          </w:r>
          <w:r>
            <w:rPr>
              <w:bCs/>
              <w:highlight w:val="none"/>
            </w:rPr>
            <w:fldChar w:fldCharType="end"/>
          </w:r>
        </w:p>
        <w:p w14:paraId="47935DE7">
          <w:pPr>
            <w:pStyle w:val="26"/>
            <w:tabs>
              <w:tab w:val="right" w:leader="dot" w:pos="8498"/>
            </w:tabs>
            <w:rPr>
              <w:highlight w:val="none"/>
            </w:rPr>
          </w:pPr>
          <w:r>
            <w:rPr>
              <w:bCs/>
              <w:highlight w:val="none"/>
            </w:rPr>
            <w:fldChar w:fldCharType="begin"/>
          </w:r>
          <w:r>
            <w:rPr>
              <w:bCs/>
              <w:highlight w:val="none"/>
            </w:rPr>
            <w:instrText xml:space="preserve"> HYPERLINK \l _Toc1297046251 </w:instrText>
          </w:r>
          <w:r>
            <w:rPr>
              <w:bCs/>
              <w:highlight w:val="none"/>
            </w:rPr>
            <w:fldChar w:fldCharType="separate"/>
          </w:r>
          <w:r>
            <w:rPr>
              <w:rFonts w:hint="default"/>
              <w:highlight w:val="none"/>
            </w:rPr>
            <w:t xml:space="preserve">14.1 </w:t>
          </w:r>
          <w:r>
            <w:rPr>
              <w:highlight w:val="none"/>
            </w:rPr>
            <w:t>Implementation status of the project</w:t>
          </w:r>
          <w:r>
            <w:rPr>
              <w:highlight w:val="none"/>
            </w:rPr>
            <w:tab/>
          </w:r>
          <w:r>
            <w:rPr>
              <w:highlight w:val="none"/>
            </w:rPr>
            <w:fldChar w:fldCharType="begin"/>
          </w:r>
          <w:r>
            <w:rPr>
              <w:highlight w:val="none"/>
            </w:rPr>
            <w:instrText xml:space="preserve"> PAGEREF _Toc1297046251 \h </w:instrText>
          </w:r>
          <w:r>
            <w:rPr>
              <w:highlight w:val="none"/>
            </w:rPr>
            <w:fldChar w:fldCharType="separate"/>
          </w:r>
          <w:r>
            <w:rPr>
              <w:highlight w:val="none"/>
            </w:rPr>
            <w:t>21</w:t>
          </w:r>
          <w:r>
            <w:rPr>
              <w:highlight w:val="none"/>
            </w:rPr>
            <w:fldChar w:fldCharType="end"/>
          </w:r>
          <w:r>
            <w:rPr>
              <w:bCs/>
              <w:highlight w:val="none"/>
            </w:rPr>
            <w:fldChar w:fldCharType="end"/>
          </w:r>
        </w:p>
        <w:p w14:paraId="4D2C2B73">
          <w:pPr>
            <w:pStyle w:val="26"/>
            <w:tabs>
              <w:tab w:val="right" w:leader="dot" w:pos="8498"/>
            </w:tabs>
            <w:rPr>
              <w:highlight w:val="none"/>
            </w:rPr>
          </w:pPr>
          <w:r>
            <w:rPr>
              <w:bCs/>
              <w:highlight w:val="none"/>
            </w:rPr>
            <w:fldChar w:fldCharType="begin"/>
          </w:r>
          <w:r>
            <w:rPr>
              <w:bCs/>
              <w:highlight w:val="none"/>
            </w:rPr>
            <w:instrText xml:space="preserve"> HYPERLINK \l _Toc349839860 </w:instrText>
          </w:r>
          <w:r>
            <w:rPr>
              <w:bCs/>
              <w:highlight w:val="none"/>
            </w:rPr>
            <w:fldChar w:fldCharType="separate"/>
          </w:r>
          <w:r>
            <w:rPr>
              <w:rFonts w:hint="default"/>
              <w:highlight w:val="none"/>
            </w:rPr>
            <w:t xml:space="preserve">14.2 </w:t>
          </w:r>
          <w:r>
            <w:rPr>
              <w:highlight w:val="none"/>
            </w:rPr>
            <w:t>Revision of monitoring plan</w:t>
          </w:r>
          <w:r>
            <w:rPr>
              <w:highlight w:val="none"/>
            </w:rPr>
            <w:tab/>
          </w:r>
          <w:r>
            <w:rPr>
              <w:highlight w:val="none"/>
            </w:rPr>
            <w:fldChar w:fldCharType="begin"/>
          </w:r>
          <w:r>
            <w:rPr>
              <w:highlight w:val="none"/>
            </w:rPr>
            <w:instrText xml:space="preserve"> PAGEREF _Toc349839860 \h </w:instrText>
          </w:r>
          <w:r>
            <w:rPr>
              <w:highlight w:val="none"/>
            </w:rPr>
            <w:fldChar w:fldCharType="separate"/>
          </w:r>
          <w:r>
            <w:rPr>
              <w:highlight w:val="none"/>
            </w:rPr>
            <w:t>22</w:t>
          </w:r>
          <w:r>
            <w:rPr>
              <w:highlight w:val="none"/>
            </w:rPr>
            <w:fldChar w:fldCharType="end"/>
          </w:r>
          <w:r>
            <w:rPr>
              <w:bCs/>
              <w:highlight w:val="none"/>
            </w:rPr>
            <w:fldChar w:fldCharType="end"/>
          </w:r>
        </w:p>
        <w:p w14:paraId="592A4C8D">
          <w:pPr>
            <w:pStyle w:val="26"/>
            <w:tabs>
              <w:tab w:val="right" w:leader="dot" w:pos="8498"/>
            </w:tabs>
            <w:rPr>
              <w:highlight w:val="none"/>
            </w:rPr>
          </w:pPr>
          <w:r>
            <w:rPr>
              <w:bCs/>
              <w:highlight w:val="none"/>
            </w:rPr>
            <w:fldChar w:fldCharType="begin"/>
          </w:r>
          <w:r>
            <w:rPr>
              <w:bCs/>
              <w:highlight w:val="none"/>
            </w:rPr>
            <w:instrText xml:space="preserve"> HYPERLINK \l _Toc2095785181 </w:instrText>
          </w:r>
          <w:r>
            <w:rPr>
              <w:bCs/>
              <w:highlight w:val="none"/>
            </w:rPr>
            <w:fldChar w:fldCharType="separate"/>
          </w:r>
          <w:r>
            <w:rPr>
              <w:rFonts w:hint="default"/>
              <w:highlight w:val="none"/>
            </w:rPr>
            <w:t xml:space="preserve">14.3 </w:t>
          </w:r>
          <w:r>
            <w:rPr>
              <w:highlight w:val="none"/>
            </w:rPr>
            <w:t>Request for deviation applied to this monitoring period</w:t>
          </w:r>
          <w:r>
            <w:rPr>
              <w:highlight w:val="none"/>
            </w:rPr>
            <w:tab/>
          </w:r>
          <w:r>
            <w:rPr>
              <w:highlight w:val="none"/>
            </w:rPr>
            <w:fldChar w:fldCharType="begin"/>
          </w:r>
          <w:r>
            <w:rPr>
              <w:highlight w:val="none"/>
            </w:rPr>
            <w:instrText xml:space="preserve"> PAGEREF _Toc2095785181 \h </w:instrText>
          </w:r>
          <w:r>
            <w:rPr>
              <w:highlight w:val="none"/>
            </w:rPr>
            <w:fldChar w:fldCharType="separate"/>
          </w:r>
          <w:r>
            <w:rPr>
              <w:highlight w:val="none"/>
            </w:rPr>
            <w:t>22</w:t>
          </w:r>
          <w:r>
            <w:rPr>
              <w:highlight w:val="none"/>
            </w:rPr>
            <w:fldChar w:fldCharType="end"/>
          </w:r>
          <w:r>
            <w:rPr>
              <w:bCs/>
              <w:highlight w:val="none"/>
            </w:rPr>
            <w:fldChar w:fldCharType="end"/>
          </w:r>
        </w:p>
        <w:p w14:paraId="50674DF1">
          <w:pPr>
            <w:pStyle w:val="26"/>
            <w:tabs>
              <w:tab w:val="right" w:leader="dot" w:pos="8498"/>
            </w:tabs>
            <w:rPr>
              <w:highlight w:val="none"/>
            </w:rPr>
          </w:pPr>
          <w:r>
            <w:rPr>
              <w:bCs/>
              <w:highlight w:val="none"/>
            </w:rPr>
            <w:fldChar w:fldCharType="begin"/>
          </w:r>
          <w:r>
            <w:rPr>
              <w:bCs/>
              <w:highlight w:val="none"/>
            </w:rPr>
            <w:instrText xml:space="preserve"> HYPERLINK \l _Toc834758973 </w:instrText>
          </w:r>
          <w:r>
            <w:rPr>
              <w:bCs/>
              <w:highlight w:val="none"/>
            </w:rPr>
            <w:fldChar w:fldCharType="separate"/>
          </w:r>
          <w:r>
            <w:rPr>
              <w:rFonts w:hint="default"/>
              <w:highlight w:val="none"/>
            </w:rPr>
            <w:t xml:space="preserve">14.4 </w:t>
          </w:r>
          <w:r>
            <w:rPr>
              <w:highlight w:val="none"/>
            </w:rPr>
            <w:t>Notification or request of approval of changes</w:t>
          </w:r>
          <w:r>
            <w:rPr>
              <w:highlight w:val="none"/>
            </w:rPr>
            <w:tab/>
          </w:r>
          <w:r>
            <w:rPr>
              <w:highlight w:val="none"/>
            </w:rPr>
            <w:fldChar w:fldCharType="begin"/>
          </w:r>
          <w:r>
            <w:rPr>
              <w:highlight w:val="none"/>
            </w:rPr>
            <w:instrText xml:space="preserve"> PAGEREF _Toc834758973 \h </w:instrText>
          </w:r>
          <w:r>
            <w:rPr>
              <w:highlight w:val="none"/>
            </w:rPr>
            <w:fldChar w:fldCharType="separate"/>
          </w:r>
          <w:r>
            <w:rPr>
              <w:highlight w:val="none"/>
            </w:rPr>
            <w:t>22</w:t>
          </w:r>
          <w:r>
            <w:rPr>
              <w:highlight w:val="none"/>
            </w:rPr>
            <w:fldChar w:fldCharType="end"/>
          </w:r>
          <w:r>
            <w:rPr>
              <w:bCs/>
              <w:highlight w:val="none"/>
            </w:rPr>
            <w:fldChar w:fldCharType="end"/>
          </w:r>
        </w:p>
        <w:p w14:paraId="28FA42A1">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_Toc283393360 </w:instrText>
          </w:r>
          <w:r>
            <w:rPr>
              <w:bCs/>
              <w:highlight w:val="none"/>
            </w:rPr>
            <w:fldChar w:fldCharType="separate"/>
          </w:r>
          <w:r>
            <w:rPr>
              <w:rFonts w:hint="default"/>
              <w:highlight w:val="none"/>
            </w:rPr>
            <w:t xml:space="preserve">15 </w:t>
          </w:r>
          <w:r>
            <w:rPr>
              <w:highlight w:val="none"/>
            </w:rPr>
            <w:t>Monitoring system</w:t>
          </w:r>
          <w:r>
            <w:rPr>
              <w:highlight w:val="none"/>
            </w:rPr>
            <w:tab/>
          </w:r>
          <w:r>
            <w:rPr>
              <w:highlight w:val="none"/>
            </w:rPr>
            <w:fldChar w:fldCharType="begin"/>
          </w:r>
          <w:r>
            <w:rPr>
              <w:highlight w:val="none"/>
            </w:rPr>
            <w:instrText xml:space="preserve"> PAGEREF _Toc283393360 \h </w:instrText>
          </w:r>
          <w:r>
            <w:rPr>
              <w:highlight w:val="none"/>
            </w:rPr>
            <w:fldChar w:fldCharType="separate"/>
          </w:r>
          <w:r>
            <w:rPr>
              <w:highlight w:val="none"/>
            </w:rPr>
            <w:t>22</w:t>
          </w:r>
          <w:r>
            <w:rPr>
              <w:highlight w:val="none"/>
            </w:rPr>
            <w:fldChar w:fldCharType="end"/>
          </w:r>
          <w:r>
            <w:rPr>
              <w:bCs/>
              <w:highlight w:val="none"/>
            </w:rPr>
            <w:fldChar w:fldCharType="end"/>
          </w:r>
        </w:p>
        <w:p w14:paraId="7D9388B3">
          <w:pPr>
            <w:pStyle w:val="26"/>
            <w:tabs>
              <w:tab w:val="right" w:leader="dot" w:pos="8498"/>
            </w:tabs>
            <w:rPr>
              <w:highlight w:val="none"/>
            </w:rPr>
          </w:pPr>
          <w:r>
            <w:rPr>
              <w:bCs/>
              <w:highlight w:val="none"/>
            </w:rPr>
            <w:fldChar w:fldCharType="begin"/>
          </w:r>
          <w:r>
            <w:rPr>
              <w:bCs/>
              <w:highlight w:val="none"/>
            </w:rPr>
            <w:instrText xml:space="preserve"> HYPERLINK \l _Toc2020956121 </w:instrText>
          </w:r>
          <w:r>
            <w:rPr>
              <w:bCs/>
              <w:highlight w:val="none"/>
            </w:rPr>
            <w:fldChar w:fldCharType="separate"/>
          </w:r>
          <w:r>
            <w:rPr>
              <w:rFonts w:hint="default"/>
              <w:highlight w:val="none"/>
            </w:rPr>
            <w:t xml:space="preserve">15.1 </w:t>
          </w:r>
          <w:r>
            <w:rPr>
              <w:highlight w:val="none"/>
            </w:rPr>
            <w:t>Description of the monitoring plan</w:t>
          </w:r>
          <w:r>
            <w:rPr>
              <w:highlight w:val="none"/>
            </w:rPr>
            <w:tab/>
          </w:r>
          <w:r>
            <w:rPr>
              <w:highlight w:val="none"/>
            </w:rPr>
            <w:fldChar w:fldCharType="begin"/>
          </w:r>
          <w:r>
            <w:rPr>
              <w:highlight w:val="none"/>
            </w:rPr>
            <w:instrText xml:space="preserve"> PAGEREF _Toc2020956121 \h </w:instrText>
          </w:r>
          <w:r>
            <w:rPr>
              <w:highlight w:val="none"/>
            </w:rPr>
            <w:fldChar w:fldCharType="separate"/>
          </w:r>
          <w:r>
            <w:rPr>
              <w:highlight w:val="none"/>
            </w:rPr>
            <w:t>22</w:t>
          </w:r>
          <w:r>
            <w:rPr>
              <w:highlight w:val="none"/>
            </w:rPr>
            <w:fldChar w:fldCharType="end"/>
          </w:r>
          <w:r>
            <w:rPr>
              <w:bCs/>
              <w:highlight w:val="none"/>
            </w:rPr>
            <w:fldChar w:fldCharType="end"/>
          </w:r>
        </w:p>
        <w:p w14:paraId="39CA0C81">
          <w:pPr>
            <w:pStyle w:val="26"/>
            <w:tabs>
              <w:tab w:val="right" w:leader="dot" w:pos="8498"/>
            </w:tabs>
            <w:rPr>
              <w:highlight w:val="none"/>
            </w:rPr>
          </w:pPr>
          <w:r>
            <w:rPr>
              <w:bCs/>
              <w:highlight w:val="none"/>
            </w:rPr>
            <w:fldChar w:fldCharType="begin"/>
          </w:r>
          <w:r>
            <w:rPr>
              <w:bCs/>
              <w:highlight w:val="none"/>
            </w:rPr>
            <w:instrText xml:space="preserve"> HYPERLINK \l _Toc1608164695 </w:instrText>
          </w:r>
          <w:r>
            <w:rPr>
              <w:bCs/>
              <w:highlight w:val="none"/>
            </w:rPr>
            <w:fldChar w:fldCharType="separate"/>
          </w:r>
          <w:r>
            <w:rPr>
              <w:rFonts w:hint="default"/>
              <w:highlight w:val="none"/>
            </w:rPr>
            <w:t xml:space="preserve">15.2 </w:t>
          </w:r>
          <w:r>
            <w:rPr>
              <w:highlight w:val="none"/>
            </w:rPr>
            <w:t>Data and parameters to quantify the reduction of emissions</w:t>
          </w:r>
          <w:r>
            <w:rPr>
              <w:highlight w:val="none"/>
            </w:rPr>
            <w:tab/>
          </w:r>
          <w:r>
            <w:rPr>
              <w:highlight w:val="none"/>
            </w:rPr>
            <w:fldChar w:fldCharType="begin"/>
          </w:r>
          <w:r>
            <w:rPr>
              <w:highlight w:val="none"/>
            </w:rPr>
            <w:instrText xml:space="preserve"> PAGEREF _Toc1608164695 \h </w:instrText>
          </w:r>
          <w:r>
            <w:rPr>
              <w:highlight w:val="none"/>
            </w:rPr>
            <w:fldChar w:fldCharType="separate"/>
          </w:r>
          <w:r>
            <w:rPr>
              <w:highlight w:val="none"/>
            </w:rPr>
            <w:t>30</w:t>
          </w:r>
          <w:r>
            <w:rPr>
              <w:highlight w:val="none"/>
            </w:rPr>
            <w:fldChar w:fldCharType="end"/>
          </w:r>
          <w:r>
            <w:rPr>
              <w:bCs/>
              <w:highlight w:val="none"/>
            </w:rPr>
            <w:fldChar w:fldCharType="end"/>
          </w:r>
        </w:p>
        <w:p w14:paraId="7228EAC3">
          <w:pPr>
            <w:pStyle w:val="27"/>
            <w:tabs>
              <w:tab w:val="right" w:leader="dot" w:pos="8498"/>
            </w:tabs>
            <w:rPr>
              <w:highlight w:val="none"/>
            </w:rPr>
          </w:pPr>
          <w:r>
            <w:rPr>
              <w:bCs/>
              <w:highlight w:val="none"/>
            </w:rPr>
            <w:fldChar w:fldCharType="begin"/>
          </w:r>
          <w:r>
            <w:rPr>
              <w:bCs/>
              <w:highlight w:val="none"/>
            </w:rPr>
            <w:instrText xml:space="preserve"> HYPERLINK \l _Toc194847723 </w:instrText>
          </w:r>
          <w:r>
            <w:rPr>
              <w:bCs/>
              <w:highlight w:val="none"/>
            </w:rPr>
            <w:fldChar w:fldCharType="separate"/>
          </w:r>
          <w:r>
            <w:rPr>
              <w:rFonts w:hint="default"/>
              <w:highlight w:val="none"/>
            </w:rPr>
            <w:t xml:space="preserve">15.2.1 </w:t>
          </w:r>
          <w:r>
            <w:rPr>
              <w:highlight w:val="none"/>
            </w:rPr>
            <w:t>Data and parameters determined at registration and not monitored during the monitoring period, including default values and factors</w:t>
          </w:r>
          <w:r>
            <w:rPr>
              <w:highlight w:val="none"/>
            </w:rPr>
            <w:tab/>
          </w:r>
          <w:r>
            <w:rPr>
              <w:highlight w:val="none"/>
            </w:rPr>
            <w:fldChar w:fldCharType="begin"/>
          </w:r>
          <w:r>
            <w:rPr>
              <w:highlight w:val="none"/>
            </w:rPr>
            <w:instrText xml:space="preserve"> PAGEREF _Toc194847723 \h </w:instrText>
          </w:r>
          <w:r>
            <w:rPr>
              <w:highlight w:val="none"/>
            </w:rPr>
            <w:fldChar w:fldCharType="separate"/>
          </w:r>
          <w:r>
            <w:rPr>
              <w:highlight w:val="none"/>
            </w:rPr>
            <w:t>31</w:t>
          </w:r>
          <w:r>
            <w:rPr>
              <w:highlight w:val="none"/>
            </w:rPr>
            <w:fldChar w:fldCharType="end"/>
          </w:r>
          <w:r>
            <w:rPr>
              <w:bCs/>
              <w:highlight w:val="none"/>
            </w:rPr>
            <w:fldChar w:fldCharType="end"/>
          </w:r>
        </w:p>
        <w:p w14:paraId="6A0290D1">
          <w:pPr>
            <w:pStyle w:val="27"/>
            <w:tabs>
              <w:tab w:val="right" w:leader="dot" w:pos="8498"/>
            </w:tabs>
            <w:rPr>
              <w:highlight w:val="none"/>
            </w:rPr>
          </w:pPr>
          <w:r>
            <w:rPr>
              <w:bCs/>
              <w:highlight w:val="none"/>
            </w:rPr>
            <w:fldChar w:fldCharType="begin"/>
          </w:r>
          <w:r>
            <w:rPr>
              <w:bCs/>
              <w:highlight w:val="none"/>
            </w:rPr>
            <w:instrText xml:space="preserve"> HYPERLINK \l _Toc2040602433 </w:instrText>
          </w:r>
          <w:r>
            <w:rPr>
              <w:bCs/>
              <w:highlight w:val="none"/>
            </w:rPr>
            <w:fldChar w:fldCharType="separate"/>
          </w:r>
          <w:r>
            <w:rPr>
              <w:rFonts w:hint="default"/>
              <w:highlight w:val="none"/>
            </w:rPr>
            <w:t xml:space="preserve">15.2.2 </w:t>
          </w:r>
          <w:r>
            <w:rPr>
              <w:highlight w:val="none"/>
            </w:rPr>
            <w:t>Data and parameters monitored</w:t>
          </w:r>
          <w:r>
            <w:rPr>
              <w:highlight w:val="none"/>
            </w:rPr>
            <w:tab/>
          </w:r>
          <w:r>
            <w:rPr>
              <w:highlight w:val="none"/>
            </w:rPr>
            <w:fldChar w:fldCharType="begin"/>
          </w:r>
          <w:r>
            <w:rPr>
              <w:highlight w:val="none"/>
            </w:rPr>
            <w:instrText xml:space="preserve"> PAGEREF _Toc2040602433 \h </w:instrText>
          </w:r>
          <w:r>
            <w:rPr>
              <w:highlight w:val="none"/>
            </w:rPr>
            <w:fldChar w:fldCharType="separate"/>
          </w:r>
          <w:r>
            <w:rPr>
              <w:highlight w:val="none"/>
            </w:rPr>
            <w:t>34</w:t>
          </w:r>
          <w:r>
            <w:rPr>
              <w:highlight w:val="none"/>
            </w:rPr>
            <w:fldChar w:fldCharType="end"/>
          </w:r>
          <w:r>
            <w:rPr>
              <w:bCs/>
              <w:highlight w:val="none"/>
            </w:rPr>
            <w:fldChar w:fldCharType="end"/>
          </w:r>
        </w:p>
        <w:p w14:paraId="714FBAC7">
          <w:pPr>
            <w:pStyle w:val="25"/>
            <w:tabs>
              <w:tab w:val="right" w:leader="dot" w:pos="8498"/>
              <w:tab w:val="clear" w:pos="440"/>
              <w:tab w:val="clear" w:pos="8488"/>
            </w:tabs>
            <w:rPr>
              <w:highlight w:val="none"/>
            </w:rPr>
          </w:pPr>
          <w:r>
            <w:rPr>
              <w:bCs/>
              <w:highlight w:val="none"/>
            </w:rPr>
            <w:fldChar w:fldCharType="begin"/>
          </w:r>
          <w:r>
            <w:rPr>
              <w:bCs/>
              <w:highlight w:val="none"/>
            </w:rPr>
            <w:instrText xml:space="preserve"> HYPERLINK \l _Toc1091248841 </w:instrText>
          </w:r>
          <w:r>
            <w:rPr>
              <w:bCs/>
              <w:highlight w:val="none"/>
            </w:rPr>
            <w:fldChar w:fldCharType="separate"/>
          </w:r>
          <w:r>
            <w:rPr>
              <w:rFonts w:hint="default"/>
              <w:highlight w:val="none"/>
            </w:rPr>
            <w:t xml:space="preserve">16 </w:t>
          </w:r>
          <w:r>
            <w:rPr>
              <w:highlight w:val="none"/>
            </w:rPr>
            <w:t>Quantification of GHG emission reduction / removals</w:t>
          </w:r>
          <w:r>
            <w:rPr>
              <w:highlight w:val="none"/>
            </w:rPr>
            <w:tab/>
          </w:r>
          <w:r>
            <w:rPr>
              <w:highlight w:val="none"/>
            </w:rPr>
            <w:fldChar w:fldCharType="begin"/>
          </w:r>
          <w:r>
            <w:rPr>
              <w:highlight w:val="none"/>
            </w:rPr>
            <w:instrText xml:space="preserve"> PAGEREF _Toc1091248841 \h </w:instrText>
          </w:r>
          <w:r>
            <w:rPr>
              <w:highlight w:val="none"/>
            </w:rPr>
            <w:fldChar w:fldCharType="separate"/>
          </w:r>
          <w:r>
            <w:rPr>
              <w:highlight w:val="none"/>
            </w:rPr>
            <w:t>37</w:t>
          </w:r>
          <w:r>
            <w:rPr>
              <w:highlight w:val="none"/>
            </w:rPr>
            <w:fldChar w:fldCharType="end"/>
          </w:r>
          <w:r>
            <w:rPr>
              <w:bCs/>
              <w:highlight w:val="none"/>
            </w:rPr>
            <w:fldChar w:fldCharType="end"/>
          </w:r>
        </w:p>
        <w:p w14:paraId="0A884B14">
          <w:pPr>
            <w:pStyle w:val="26"/>
            <w:tabs>
              <w:tab w:val="right" w:leader="dot" w:pos="8498"/>
            </w:tabs>
            <w:rPr>
              <w:highlight w:val="none"/>
            </w:rPr>
          </w:pPr>
          <w:r>
            <w:rPr>
              <w:bCs/>
              <w:highlight w:val="none"/>
            </w:rPr>
            <w:fldChar w:fldCharType="begin"/>
          </w:r>
          <w:r>
            <w:rPr>
              <w:bCs/>
              <w:highlight w:val="none"/>
            </w:rPr>
            <w:instrText xml:space="preserve"> HYPERLINK \l _Toc1108925307 </w:instrText>
          </w:r>
          <w:r>
            <w:rPr>
              <w:bCs/>
              <w:highlight w:val="none"/>
            </w:rPr>
            <w:fldChar w:fldCharType="separate"/>
          </w:r>
          <w:r>
            <w:rPr>
              <w:rFonts w:hint="default"/>
              <w:highlight w:val="none"/>
            </w:rPr>
            <w:t xml:space="preserve">16.1 </w:t>
          </w:r>
          <w:r>
            <w:rPr>
              <w:highlight w:val="none"/>
            </w:rPr>
            <w:t>Baseline emissions</w:t>
          </w:r>
          <w:r>
            <w:rPr>
              <w:highlight w:val="none"/>
            </w:rPr>
            <w:tab/>
          </w:r>
          <w:r>
            <w:rPr>
              <w:highlight w:val="none"/>
            </w:rPr>
            <w:fldChar w:fldCharType="begin"/>
          </w:r>
          <w:r>
            <w:rPr>
              <w:highlight w:val="none"/>
            </w:rPr>
            <w:instrText xml:space="preserve"> PAGEREF _Toc1108925307 \h </w:instrText>
          </w:r>
          <w:r>
            <w:rPr>
              <w:highlight w:val="none"/>
            </w:rPr>
            <w:fldChar w:fldCharType="separate"/>
          </w:r>
          <w:r>
            <w:rPr>
              <w:highlight w:val="none"/>
            </w:rPr>
            <w:t>37</w:t>
          </w:r>
          <w:r>
            <w:rPr>
              <w:highlight w:val="none"/>
            </w:rPr>
            <w:fldChar w:fldCharType="end"/>
          </w:r>
          <w:r>
            <w:rPr>
              <w:bCs/>
              <w:highlight w:val="none"/>
            </w:rPr>
            <w:fldChar w:fldCharType="end"/>
          </w:r>
        </w:p>
        <w:p w14:paraId="178296F5">
          <w:pPr>
            <w:pStyle w:val="26"/>
            <w:tabs>
              <w:tab w:val="right" w:leader="dot" w:pos="8498"/>
            </w:tabs>
            <w:rPr>
              <w:highlight w:val="none"/>
            </w:rPr>
          </w:pPr>
          <w:r>
            <w:rPr>
              <w:bCs/>
              <w:highlight w:val="none"/>
            </w:rPr>
            <w:fldChar w:fldCharType="begin"/>
          </w:r>
          <w:r>
            <w:rPr>
              <w:bCs/>
              <w:highlight w:val="none"/>
            </w:rPr>
            <w:instrText xml:space="preserve"> HYPERLINK \l _Toc1844546083 </w:instrText>
          </w:r>
          <w:r>
            <w:rPr>
              <w:bCs/>
              <w:highlight w:val="none"/>
            </w:rPr>
            <w:fldChar w:fldCharType="separate"/>
          </w:r>
          <w:r>
            <w:rPr>
              <w:rFonts w:hint="default"/>
              <w:highlight w:val="none"/>
            </w:rPr>
            <w:t xml:space="preserve">16.2 </w:t>
          </w:r>
          <w:r>
            <w:rPr>
              <w:highlight w:val="none"/>
            </w:rPr>
            <w:t>Project emissions/removals</w:t>
          </w:r>
          <w:r>
            <w:rPr>
              <w:highlight w:val="none"/>
            </w:rPr>
            <w:tab/>
          </w:r>
          <w:r>
            <w:rPr>
              <w:highlight w:val="none"/>
            </w:rPr>
            <w:fldChar w:fldCharType="begin"/>
          </w:r>
          <w:r>
            <w:rPr>
              <w:highlight w:val="none"/>
            </w:rPr>
            <w:instrText xml:space="preserve"> PAGEREF _Toc1844546083 \h </w:instrText>
          </w:r>
          <w:r>
            <w:rPr>
              <w:highlight w:val="none"/>
            </w:rPr>
            <w:fldChar w:fldCharType="separate"/>
          </w:r>
          <w:r>
            <w:rPr>
              <w:highlight w:val="none"/>
            </w:rPr>
            <w:t>41</w:t>
          </w:r>
          <w:r>
            <w:rPr>
              <w:highlight w:val="none"/>
            </w:rPr>
            <w:fldChar w:fldCharType="end"/>
          </w:r>
          <w:r>
            <w:rPr>
              <w:bCs/>
              <w:highlight w:val="none"/>
            </w:rPr>
            <w:fldChar w:fldCharType="end"/>
          </w:r>
        </w:p>
        <w:p w14:paraId="143E6008">
          <w:pPr>
            <w:pStyle w:val="26"/>
            <w:tabs>
              <w:tab w:val="right" w:leader="dot" w:pos="8498"/>
            </w:tabs>
            <w:rPr>
              <w:highlight w:val="none"/>
            </w:rPr>
          </w:pPr>
          <w:r>
            <w:rPr>
              <w:bCs/>
              <w:highlight w:val="none"/>
            </w:rPr>
            <w:fldChar w:fldCharType="begin"/>
          </w:r>
          <w:r>
            <w:rPr>
              <w:bCs/>
              <w:highlight w:val="none"/>
            </w:rPr>
            <w:instrText xml:space="preserve"> HYPERLINK \l _Toc212088889 </w:instrText>
          </w:r>
          <w:r>
            <w:rPr>
              <w:bCs/>
              <w:highlight w:val="none"/>
            </w:rPr>
            <w:fldChar w:fldCharType="separate"/>
          </w:r>
          <w:r>
            <w:rPr>
              <w:rFonts w:hint="default"/>
              <w:highlight w:val="none"/>
            </w:rPr>
            <w:t xml:space="preserve">16.3 </w:t>
          </w:r>
          <w:r>
            <w:rPr>
              <w:highlight w:val="none"/>
            </w:rPr>
            <w:t>Leakages</w:t>
          </w:r>
          <w:r>
            <w:rPr>
              <w:highlight w:val="none"/>
            </w:rPr>
            <w:tab/>
          </w:r>
          <w:r>
            <w:rPr>
              <w:highlight w:val="none"/>
            </w:rPr>
            <w:fldChar w:fldCharType="begin"/>
          </w:r>
          <w:r>
            <w:rPr>
              <w:highlight w:val="none"/>
            </w:rPr>
            <w:instrText xml:space="preserve"> PAGEREF _Toc212088889 \h </w:instrText>
          </w:r>
          <w:r>
            <w:rPr>
              <w:highlight w:val="none"/>
            </w:rPr>
            <w:fldChar w:fldCharType="separate"/>
          </w:r>
          <w:r>
            <w:rPr>
              <w:highlight w:val="none"/>
            </w:rPr>
            <w:t>46</w:t>
          </w:r>
          <w:r>
            <w:rPr>
              <w:highlight w:val="none"/>
            </w:rPr>
            <w:fldChar w:fldCharType="end"/>
          </w:r>
          <w:r>
            <w:rPr>
              <w:bCs/>
              <w:highlight w:val="none"/>
            </w:rPr>
            <w:fldChar w:fldCharType="end"/>
          </w:r>
        </w:p>
        <w:p w14:paraId="456C5FE0">
          <w:pPr>
            <w:pStyle w:val="26"/>
            <w:tabs>
              <w:tab w:val="right" w:leader="dot" w:pos="8498"/>
            </w:tabs>
            <w:rPr>
              <w:highlight w:val="none"/>
            </w:rPr>
          </w:pPr>
          <w:r>
            <w:rPr>
              <w:bCs/>
              <w:highlight w:val="none"/>
            </w:rPr>
            <w:fldChar w:fldCharType="begin"/>
          </w:r>
          <w:r>
            <w:rPr>
              <w:bCs/>
              <w:highlight w:val="none"/>
            </w:rPr>
            <w:instrText xml:space="preserve"> HYPERLINK \l _Toc1902587050 </w:instrText>
          </w:r>
          <w:r>
            <w:rPr>
              <w:bCs/>
              <w:highlight w:val="none"/>
            </w:rPr>
            <w:fldChar w:fldCharType="separate"/>
          </w:r>
          <w:r>
            <w:rPr>
              <w:rFonts w:hint="default"/>
              <w:highlight w:val="none"/>
            </w:rPr>
            <w:t xml:space="preserve">16.4 </w:t>
          </w:r>
          <w:r>
            <w:rPr>
              <w:highlight w:val="none"/>
            </w:rPr>
            <w:t>Net GHG Emission Reductions / Removals</w:t>
          </w:r>
          <w:r>
            <w:rPr>
              <w:highlight w:val="none"/>
            </w:rPr>
            <w:tab/>
          </w:r>
          <w:r>
            <w:rPr>
              <w:highlight w:val="none"/>
            </w:rPr>
            <w:fldChar w:fldCharType="begin"/>
          </w:r>
          <w:r>
            <w:rPr>
              <w:highlight w:val="none"/>
            </w:rPr>
            <w:instrText xml:space="preserve"> PAGEREF _Toc1902587050 \h </w:instrText>
          </w:r>
          <w:r>
            <w:rPr>
              <w:highlight w:val="none"/>
            </w:rPr>
            <w:fldChar w:fldCharType="separate"/>
          </w:r>
          <w:r>
            <w:rPr>
              <w:highlight w:val="none"/>
            </w:rPr>
            <w:t>46</w:t>
          </w:r>
          <w:r>
            <w:rPr>
              <w:highlight w:val="none"/>
            </w:rPr>
            <w:fldChar w:fldCharType="end"/>
          </w:r>
          <w:r>
            <w:rPr>
              <w:bCs/>
              <w:highlight w:val="none"/>
            </w:rPr>
            <w:fldChar w:fldCharType="end"/>
          </w:r>
        </w:p>
        <w:p w14:paraId="05644399">
          <w:pPr>
            <w:pStyle w:val="26"/>
            <w:tabs>
              <w:tab w:val="right" w:leader="dot" w:pos="8498"/>
            </w:tabs>
            <w:rPr>
              <w:highlight w:val="none"/>
            </w:rPr>
          </w:pPr>
          <w:r>
            <w:rPr>
              <w:bCs/>
              <w:highlight w:val="none"/>
            </w:rPr>
            <w:fldChar w:fldCharType="begin"/>
          </w:r>
          <w:r>
            <w:rPr>
              <w:bCs/>
              <w:highlight w:val="none"/>
            </w:rPr>
            <w:instrText xml:space="preserve"> HYPERLINK \l _Toc749045520 </w:instrText>
          </w:r>
          <w:r>
            <w:rPr>
              <w:bCs/>
              <w:highlight w:val="none"/>
            </w:rPr>
            <w:fldChar w:fldCharType="separate"/>
          </w:r>
          <w:r>
            <w:rPr>
              <w:rFonts w:hint="default"/>
              <w:highlight w:val="none"/>
            </w:rPr>
            <w:t xml:space="preserve">16.5 </w:t>
          </w:r>
          <w:r>
            <w:rPr>
              <w:highlight w:val="none"/>
            </w:rPr>
            <w:t>Comparison of actual emission reductions with estimates in the project document</w:t>
          </w:r>
          <w:r>
            <w:rPr>
              <w:highlight w:val="none"/>
            </w:rPr>
            <w:tab/>
          </w:r>
          <w:r>
            <w:rPr>
              <w:highlight w:val="none"/>
            </w:rPr>
            <w:fldChar w:fldCharType="begin"/>
          </w:r>
          <w:r>
            <w:rPr>
              <w:highlight w:val="none"/>
            </w:rPr>
            <w:instrText xml:space="preserve"> PAGEREF _Toc749045520 \h </w:instrText>
          </w:r>
          <w:r>
            <w:rPr>
              <w:highlight w:val="none"/>
            </w:rPr>
            <w:fldChar w:fldCharType="separate"/>
          </w:r>
          <w:r>
            <w:rPr>
              <w:highlight w:val="none"/>
            </w:rPr>
            <w:t>47</w:t>
          </w:r>
          <w:r>
            <w:rPr>
              <w:highlight w:val="none"/>
            </w:rPr>
            <w:fldChar w:fldCharType="end"/>
          </w:r>
          <w:r>
            <w:rPr>
              <w:bCs/>
              <w:highlight w:val="none"/>
            </w:rPr>
            <w:fldChar w:fldCharType="end"/>
          </w:r>
        </w:p>
        <w:p w14:paraId="4D2D7327">
          <w:pPr>
            <w:pStyle w:val="26"/>
            <w:tabs>
              <w:tab w:val="right" w:leader="dot" w:pos="8498"/>
            </w:tabs>
            <w:rPr>
              <w:highlight w:val="none"/>
            </w:rPr>
          </w:pPr>
          <w:r>
            <w:rPr>
              <w:bCs/>
              <w:highlight w:val="none"/>
            </w:rPr>
            <w:fldChar w:fldCharType="begin"/>
          </w:r>
          <w:r>
            <w:rPr>
              <w:bCs/>
              <w:highlight w:val="none"/>
            </w:rPr>
            <w:instrText xml:space="preserve"> HYPERLINK \l _Toc658915926 </w:instrText>
          </w:r>
          <w:r>
            <w:rPr>
              <w:bCs/>
              <w:highlight w:val="none"/>
            </w:rPr>
            <w:fldChar w:fldCharType="separate"/>
          </w:r>
          <w:r>
            <w:rPr>
              <w:rFonts w:hint="default"/>
              <w:highlight w:val="none"/>
            </w:rPr>
            <w:t xml:space="preserve">16.6 </w:t>
          </w:r>
          <w:r>
            <w:rPr>
              <w:highlight w:val="none"/>
            </w:rPr>
            <w:t>Remarks on difference from estimated value in the registered project document</w:t>
          </w:r>
          <w:r>
            <w:rPr>
              <w:highlight w:val="none"/>
            </w:rPr>
            <w:tab/>
          </w:r>
          <w:r>
            <w:rPr>
              <w:highlight w:val="none"/>
            </w:rPr>
            <w:fldChar w:fldCharType="begin"/>
          </w:r>
          <w:r>
            <w:rPr>
              <w:highlight w:val="none"/>
            </w:rPr>
            <w:instrText xml:space="preserve"> PAGEREF _Toc658915926 \h </w:instrText>
          </w:r>
          <w:r>
            <w:rPr>
              <w:highlight w:val="none"/>
            </w:rPr>
            <w:fldChar w:fldCharType="separate"/>
          </w:r>
          <w:r>
            <w:rPr>
              <w:highlight w:val="none"/>
            </w:rPr>
            <w:t>47</w:t>
          </w:r>
          <w:r>
            <w:rPr>
              <w:highlight w:val="none"/>
            </w:rPr>
            <w:fldChar w:fldCharType="end"/>
          </w:r>
          <w:r>
            <w:rPr>
              <w:bCs/>
              <w:highlight w:val="none"/>
            </w:rPr>
            <w:fldChar w:fldCharType="end"/>
          </w:r>
        </w:p>
        <w:p w14:paraId="5870D033">
          <w:pPr>
            <w:rPr>
              <w:highlight w:val="none"/>
            </w:rPr>
          </w:pPr>
          <w:r>
            <w:rPr>
              <w:bCs/>
              <w:highlight w:val="none"/>
            </w:rPr>
            <w:fldChar w:fldCharType="end"/>
          </w:r>
        </w:p>
      </w:sdtContent>
    </w:sdt>
    <w:p w14:paraId="0CE5D1F6">
      <w:pPr>
        <w:rPr>
          <w:highlight w:val="none"/>
        </w:rPr>
      </w:pPr>
      <w:r>
        <w:rPr>
          <w:highlight w:val="none"/>
        </w:rPr>
        <w:br w:type="page"/>
      </w:r>
    </w:p>
    <w:p w14:paraId="4C7B4B1E">
      <w:pPr>
        <w:pStyle w:val="2"/>
        <w:rPr>
          <w:highlight w:val="none"/>
        </w:rPr>
      </w:pPr>
      <w:bookmarkStart w:id="0" w:name="_Toc1107456586"/>
      <w:r>
        <w:rPr>
          <w:highlight w:val="none"/>
        </w:rPr>
        <w:t>General description of project</w:t>
      </w:r>
      <w:bookmarkEnd w:id="0"/>
    </w:p>
    <w:p w14:paraId="614D66F3">
      <w:pPr>
        <w:spacing w:after="0"/>
        <w:rPr>
          <w:highlight w:val="none"/>
        </w:rPr>
      </w:pPr>
      <w:r>
        <w:rPr>
          <w:highlight w:val="none"/>
        </w:rPr>
        <w:t>The project activity consists of composting the organic fraction of non-hazardous organic waste from biodiesel, oil and cellulose plants, the dairy industry, breweries and agro-industries that produce GHG. It does NOT involve any of the below:</w:t>
      </w:r>
    </w:p>
    <w:p w14:paraId="71735E7A">
      <w:pPr>
        <w:pStyle w:val="35"/>
        <w:numPr>
          <w:ilvl w:val="0"/>
          <w:numId w:val="5"/>
        </w:numPr>
        <w:spacing w:after="0"/>
        <w:rPr>
          <w:highlight w:val="none"/>
        </w:rPr>
      </w:pPr>
      <w:r>
        <w:rPr>
          <w:highlight w:val="none"/>
        </w:rPr>
        <w:t>Recover or combust landfill gas from disposal site.</w:t>
      </w:r>
    </w:p>
    <w:p w14:paraId="71FC653B">
      <w:pPr>
        <w:pStyle w:val="35"/>
        <w:numPr>
          <w:ilvl w:val="0"/>
          <w:numId w:val="5"/>
        </w:numPr>
        <w:spacing w:after="0"/>
        <w:rPr>
          <w:highlight w:val="none"/>
        </w:rPr>
      </w:pPr>
      <w:r>
        <w:rPr>
          <w:highlight w:val="none"/>
        </w:rPr>
        <w:t>Undertake controlled combustion of the waste that is not treated biologically in a first step.</w:t>
      </w:r>
    </w:p>
    <w:p w14:paraId="7AC46C76">
      <w:pPr>
        <w:pStyle w:val="35"/>
        <w:numPr>
          <w:ilvl w:val="0"/>
          <w:numId w:val="5"/>
        </w:numPr>
        <w:spacing w:after="0"/>
        <w:rPr>
          <w:highlight w:val="none"/>
        </w:rPr>
      </w:pPr>
      <w:r>
        <w:rPr>
          <w:highlight w:val="none"/>
        </w:rPr>
        <w:t>Recover biogas from wastewater treatment.</w:t>
      </w:r>
    </w:p>
    <w:p w14:paraId="5C81D796">
      <w:pPr>
        <w:pStyle w:val="35"/>
        <w:numPr>
          <w:ilvl w:val="0"/>
          <w:numId w:val="5"/>
        </w:numPr>
        <w:spacing w:after="0"/>
        <w:rPr>
          <w:highlight w:val="none"/>
        </w:rPr>
      </w:pPr>
      <w:r>
        <w:rPr>
          <w:highlight w:val="none"/>
        </w:rPr>
        <w:t>Co-digestion of organic matters.</w:t>
      </w:r>
    </w:p>
    <w:p w14:paraId="53D08E75">
      <w:pPr>
        <w:pStyle w:val="3"/>
        <w:rPr>
          <w:rFonts w:eastAsia="Calibri"/>
          <w:highlight w:val="none"/>
        </w:rPr>
      </w:pPr>
      <w:bookmarkStart w:id="1" w:name="_Toc782072353"/>
      <w:r>
        <w:rPr>
          <w:rFonts w:eastAsia="Calibri"/>
          <w:highlight w:val="none"/>
        </w:rPr>
        <w:t>Sectoral scope and project type</w:t>
      </w:r>
      <w:bookmarkEnd w:id="1"/>
    </w:p>
    <w:p w14:paraId="3BA353B4">
      <w:pPr>
        <w:rPr>
          <w:color w:val="000000"/>
          <w:highlight w:val="none"/>
        </w:rPr>
      </w:pPr>
      <w:r>
        <w:rPr>
          <w:color w:val="000000"/>
          <w:highlight w:val="none"/>
        </w:rPr>
        <w:t>For the validation and verification of projects and program of activities by a designated operating entity (DOE) that uses this methodology, the application of sectoral scope 13 is mandatory.</w:t>
      </w:r>
    </w:p>
    <w:p w14:paraId="3405391A">
      <w:pPr>
        <w:pStyle w:val="3"/>
        <w:rPr>
          <w:rFonts w:eastAsia="Calibri"/>
          <w:highlight w:val="none"/>
        </w:rPr>
      </w:pPr>
      <w:bookmarkStart w:id="2" w:name="_Toc1690117231"/>
      <w:r>
        <w:rPr>
          <w:rFonts w:eastAsia="Calibri"/>
          <w:highlight w:val="none"/>
        </w:rPr>
        <w:t>Project start date</w:t>
      </w:r>
      <w:bookmarkEnd w:id="2"/>
    </w:p>
    <w:p w14:paraId="5ACBC396">
      <w:pPr>
        <w:rPr>
          <w:rFonts w:eastAsia="Calibri"/>
          <w:i w:val="0"/>
          <w:iCs w:val="0"/>
          <w:highlight w:val="none"/>
        </w:rPr>
      </w:pPr>
      <w:r>
        <w:rPr>
          <w:rFonts w:hint="default" w:eastAsia="Calibri"/>
          <w:i w:val="0"/>
          <w:iCs w:val="0"/>
          <w:highlight w:val="none"/>
          <w:lang w:val="es-ES"/>
        </w:rPr>
        <w:t xml:space="preserve">The project starts on </w:t>
      </w:r>
      <w:r>
        <w:rPr>
          <w:rFonts w:eastAsia="Calibri"/>
          <w:i w:val="0"/>
          <w:iCs w:val="0"/>
          <w:highlight w:val="none"/>
        </w:rPr>
        <w:t>01</w:t>
      </w:r>
      <w:r>
        <w:rPr>
          <w:rFonts w:hint="default" w:eastAsia="Calibri"/>
          <w:i w:val="0"/>
          <w:iCs w:val="0"/>
          <w:highlight w:val="none"/>
          <w:lang w:val="es-ES"/>
        </w:rPr>
        <w:t>/0</w:t>
      </w:r>
      <w:r>
        <w:rPr>
          <w:rFonts w:eastAsia="Calibri"/>
          <w:i w:val="0"/>
          <w:iCs w:val="0"/>
          <w:highlight w:val="none"/>
        </w:rPr>
        <w:t>4</w:t>
      </w:r>
      <w:r>
        <w:rPr>
          <w:rFonts w:hint="default" w:eastAsia="Calibri"/>
          <w:i w:val="0"/>
          <w:iCs w:val="0"/>
          <w:highlight w:val="none"/>
          <w:lang w:val="es-ES"/>
        </w:rPr>
        <w:t>/</w:t>
      </w:r>
      <w:r>
        <w:rPr>
          <w:rFonts w:eastAsia="Calibri"/>
          <w:i w:val="0"/>
          <w:iCs w:val="0"/>
          <w:highlight w:val="none"/>
        </w:rPr>
        <w:t>2018.</w:t>
      </w:r>
    </w:p>
    <w:p w14:paraId="68BCF1C7">
      <w:pPr>
        <w:pStyle w:val="3"/>
        <w:rPr>
          <w:rFonts w:eastAsia="Calibri"/>
          <w:highlight w:val="none"/>
        </w:rPr>
      </w:pPr>
      <w:bookmarkStart w:id="3" w:name="_Toc1034102548"/>
      <w:r>
        <w:rPr>
          <w:rFonts w:eastAsia="Calibri"/>
          <w:highlight w:val="none"/>
        </w:rPr>
        <w:t>Project quantification period</w:t>
      </w:r>
      <w:bookmarkEnd w:id="3"/>
    </w:p>
    <w:p w14:paraId="4B5B29DA">
      <w:pPr>
        <w:rPr>
          <w:rFonts w:hint="default"/>
          <w:highlight w:val="none"/>
          <w:lang w:val="es-ES"/>
        </w:rPr>
      </w:pPr>
      <w:r>
        <w:rPr>
          <w:rFonts w:hint="default"/>
          <w:highlight w:val="none"/>
          <w:lang w:val="en-GB"/>
        </w:rPr>
        <w:t>The time period for quantification of GHG emission reduction, as section 11.5 of the BCR Standard for activities in the waste sector (“other than AFOLU”), is 10 years without renovation: since 01/08/2019 to 31/07/2029</w:t>
      </w:r>
      <w:r>
        <w:rPr>
          <w:rFonts w:hint="default"/>
          <w:highlight w:val="none"/>
          <w:lang w:val="es-ES"/>
        </w:rPr>
        <w:t>.</w:t>
      </w:r>
    </w:p>
    <w:p w14:paraId="60FE2796">
      <w:pPr>
        <w:rPr>
          <w:rFonts w:hint="default"/>
          <w:highlight w:val="none"/>
          <w:lang w:val="es-ES"/>
        </w:rPr>
      </w:pPr>
      <w:r>
        <w:rPr>
          <w:rFonts w:hint="default"/>
          <w:highlight w:val="none"/>
          <w:lang w:val="es-ES"/>
        </w:rPr>
        <w:t>The first period of this project is 5 years: since 01/04/2018 to 31/03/2023.</w:t>
      </w:r>
    </w:p>
    <w:p w14:paraId="197E5DC8">
      <w:pPr>
        <w:rPr>
          <w:rFonts w:eastAsia="Calibri"/>
          <w:i/>
          <w:iCs/>
          <w:highlight w:val="none"/>
        </w:rPr>
      </w:pPr>
      <w:r>
        <w:rPr>
          <w:rFonts w:hint="default"/>
          <w:highlight w:val="none"/>
          <w:lang w:val="es-ES"/>
        </w:rPr>
        <w:t>T</w:t>
      </w:r>
      <w:r>
        <w:rPr>
          <w:rFonts w:hint="default"/>
          <w:highlight w:val="none"/>
          <w:lang w:val="en-US"/>
        </w:rPr>
        <w:t>he em</w:t>
      </w:r>
      <w:r>
        <w:rPr>
          <w:highlight w:val="none"/>
          <w:lang w:val="en-US"/>
        </w:rPr>
        <w:t>issions have been verified because of the validation of amount of solid waste disposed and used by the project holder.</w:t>
      </w:r>
      <w:r>
        <w:rPr>
          <w:rFonts w:hint="default"/>
          <w:highlight w:val="none"/>
          <w:lang w:val="en-US"/>
        </w:rPr>
        <w:t>As mentioned in BCR Standard, the project begins less than five years before the start of validation.</w:t>
      </w:r>
    </w:p>
    <w:p w14:paraId="1BC042E2">
      <w:pPr>
        <w:pStyle w:val="3"/>
        <w:rPr>
          <w:rFonts w:eastAsia="Calibri"/>
          <w:highlight w:val="none"/>
        </w:rPr>
      </w:pPr>
      <w:bookmarkStart w:id="4" w:name="_Toc576369065"/>
      <w:bookmarkStart w:id="5" w:name="_Toc143368332"/>
      <w:r>
        <w:rPr>
          <w:rFonts w:eastAsia="Calibri"/>
          <w:highlight w:val="none"/>
        </w:rPr>
        <w:t>Project location and project boundaries</w:t>
      </w:r>
      <w:bookmarkEnd w:id="4"/>
    </w:p>
    <w:p w14:paraId="6074EE4A">
      <w:pPr>
        <w:spacing w:before="0" w:after="0"/>
        <w:rPr>
          <w:highlight w:val="none"/>
          <w:lang w:val="en-US"/>
        </w:rPr>
      </w:pPr>
      <w:r>
        <w:rPr>
          <w:highlight w:val="none"/>
          <w:lang w:val="en-US"/>
        </w:rPr>
        <w:t>The project boundary is defined as the physical, geographical location of the following:</w:t>
      </w:r>
    </w:p>
    <w:p w14:paraId="00E67EA1">
      <w:pPr>
        <w:pStyle w:val="35"/>
        <w:numPr>
          <w:ilvl w:val="0"/>
          <w:numId w:val="6"/>
        </w:numPr>
        <w:spacing w:before="0" w:after="0"/>
        <w:ind w:left="0" w:firstLine="426"/>
        <w:rPr>
          <w:highlight w:val="none"/>
          <w:lang w:val="en-US"/>
        </w:rPr>
      </w:pPr>
      <w:r>
        <w:rPr>
          <w:highlight w:val="none"/>
          <w:lang w:val="en-US"/>
        </w:rPr>
        <w:t>The landfill sites, where the solid waste would have been disposed and the methane emission occurs in absence of the proposed project activity;</w:t>
      </w:r>
    </w:p>
    <w:p w14:paraId="25948FA0">
      <w:pPr>
        <w:pStyle w:val="35"/>
        <w:numPr>
          <w:ilvl w:val="0"/>
          <w:numId w:val="6"/>
        </w:numPr>
        <w:spacing w:before="0" w:after="0"/>
        <w:ind w:left="0" w:firstLine="426"/>
        <w:rPr>
          <w:highlight w:val="none"/>
          <w:lang w:val="en-US"/>
        </w:rPr>
      </w:pPr>
      <w:r>
        <w:rPr>
          <w:highlight w:val="none"/>
          <w:lang w:val="en-US"/>
        </w:rPr>
        <w:t>The composting facility, where the treatment of biomass through composting takes place;</w:t>
      </w:r>
    </w:p>
    <w:p w14:paraId="4F56BC40">
      <w:pPr>
        <w:pStyle w:val="35"/>
        <w:numPr>
          <w:ilvl w:val="0"/>
          <w:numId w:val="6"/>
        </w:numPr>
        <w:spacing w:before="0" w:after="0"/>
        <w:ind w:left="0" w:firstLine="426"/>
        <w:rPr>
          <w:highlight w:val="none"/>
          <w:lang w:val="en-US"/>
        </w:rPr>
      </w:pPr>
      <w:r>
        <w:rPr>
          <w:highlight w:val="none"/>
          <w:lang w:val="en-US"/>
        </w:rPr>
        <w:t>Consumer places where the compost is handled, disposed, submitted to soil application;</w:t>
      </w:r>
    </w:p>
    <w:p w14:paraId="4D80C166">
      <w:pPr>
        <w:pStyle w:val="35"/>
        <w:numPr>
          <w:ilvl w:val="0"/>
          <w:numId w:val="6"/>
        </w:numPr>
        <w:spacing w:before="0" w:after="0"/>
        <w:ind w:left="0" w:firstLine="426"/>
        <w:rPr>
          <w:highlight w:val="none"/>
          <w:lang w:val="en-US"/>
        </w:rPr>
      </w:pPr>
      <w:r>
        <w:rPr>
          <w:highlight w:val="none"/>
          <w:lang w:val="en-US"/>
        </w:rPr>
        <w:t>And the itineraries between b and c where the transportation of compost occurs. It should be noted that the waste transportation itineraries between a &amp; b are not considered as the project site is located next to the landfill site.</w:t>
      </w:r>
    </w:p>
    <w:p w14:paraId="5F8835A0">
      <w:pPr>
        <w:spacing w:before="0" w:after="0" w:line="240" w:lineRule="auto"/>
        <w:jc w:val="center"/>
        <w:rPr>
          <w:highlight w:val="none"/>
          <w:lang w:val="en-US" w:eastAsia="es-ES"/>
        </w:rPr>
      </w:pPr>
      <w:r>
        <w:rPr>
          <w:highlight w:val="none"/>
          <w:lang w:val="en-US" w:eastAsia="es-ES"/>
        </w:rPr>
        <w:drawing>
          <wp:inline distT="114300" distB="114300" distL="114300" distR="114300">
            <wp:extent cx="3735705" cy="1750060"/>
            <wp:effectExtent l="0" t="0" r="23495" b="2540"/>
            <wp:docPr id="5179" name="image6.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5179" name="image6.png" descr="Interfaz de usuario gráfica, Aplicación, Word&#10;&#10;Descripción generada automáticamente"/>
                    <pic:cNvPicPr preferRelativeResize="0"/>
                  </pic:nvPicPr>
                  <pic:blipFill>
                    <a:blip r:embed="rId13"/>
                    <a:srcRect l="26488" t="31962" r="34226" b="35076"/>
                    <a:stretch>
                      <a:fillRect/>
                    </a:stretch>
                  </pic:blipFill>
                  <pic:spPr>
                    <a:xfrm>
                      <a:off x="0" y="0"/>
                      <a:ext cx="3888481" cy="1821446"/>
                    </a:xfrm>
                    <a:prstGeom prst="rect">
                      <a:avLst/>
                    </a:prstGeom>
                  </pic:spPr>
                </pic:pic>
              </a:graphicData>
            </a:graphic>
          </wp:inline>
        </w:drawing>
      </w:r>
    </w:p>
    <w:p w14:paraId="077E3796">
      <w:pPr>
        <w:spacing w:before="0" w:after="0" w:line="240" w:lineRule="auto"/>
        <w:jc w:val="center"/>
        <w:rPr>
          <w:rFonts w:hint="default"/>
          <w:i/>
          <w:iCs/>
          <w:sz w:val="20"/>
          <w:szCs w:val="20"/>
          <w:highlight w:val="none"/>
          <w:lang w:val="es-ES"/>
        </w:rPr>
      </w:pPr>
      <w:r>
        <w:rPr>
          <w:i/>
          <w:iCs/>
          <w:sz w:val="20"/>
          <w:szCs w:val="20"/>
          <w:highlight w:val="none"/>
          <w:lang w:val="en-US"/>
        </w:rPr>
        <w:t xml:space="preserve">Figure </w:t>
      </w:r>
      <w:r>
        <w:rPr>
          <w:rFonts w:hint="default"/>
          <w:i/>
          <w:iCs/>
          <w:sz w:val="20"/>
          <w:szCs w:val="20"/>
          <w:highlight w:val="none"/>
          <w:lang w:val="es-ES"/>
        </w:rPr>
        <w:t>1</w:t>
      </w:r>
      <w:r>
        <w:rPr>
          <w:i/>
          <w:iCs/>
          <w:sz w:val="20"/>
          <w:szCs w:val="20"/>
          <w:highlight w:val="none"/>
          <w:lang w:val="en-US"/>
        </w:rPr>
        <w:t>. Project Boundary</w:t>
      </w:r>
      <w:r>
        <w:rPr>
          <w:rFonts w:hint="default"/>
          <w:i/>
          <w:iCs/>
          <w:sz w:val="20"/>
          <w:szCs w:val="20"/>
          <w:highlight w:val="none"/>
          <w:lang w:val="es-ES"/>
        </w:rPr>
        <w:t>.</w:t>
      </w:r>
    </w:p>
    <w:p w14:paraId="47A9774B">
      <w:pPr>
        <w:rPr>
          <w:rFonts w:eastAsia="Arial"/>
          <w:highlight w:val="none"/>
          <w:lang w:val="en-US"/>
        </w:rPr>
      </w:pPr>
      <w:r>
        <w:rPr>
          <w:color w:val="000000"/>
          <w:highlight w:val="none"/>
          <w:lang w:val="en-US"/>
        </w:rPr>
        <w:t>Previously</w:t>
      </w:r>
      <w:r>
        <w:rPr>
          <w:highlight w:val="none"/>
          <w:lang w:val="en-US"/>
        </w:rPr>
        <w:t xml:space="preserve">, waste generators needed to transfer the product (waste) from their generating plant to facilities located in the Province of Buenos Aires (Argentina) to achieve the Final Disposal of non-hazardous organic waste. Since the beginning of the project, these agro-industrial plants have carried the waste, </w:t>
      </w:r>
      <w:r>
        <w:rPr>
          <w:color w:val="000000"/>
          <w:highlight w:val="none"/>
          <w:lang w:val="en-US"/>
        </w:rPr>
        <w:t>with</w:t>
      </w:r>
      <w:r>
        <w:rPr>
          <w:highlight w:val="none"/>
          <w:lang w:val="en-US"/>
        </w:rPr>
        <w:t xml:space="preserve"> the same logistics but with a distance of approximately 50 km, since </w:t>
      </w:r>
      <w:r>
        <w:rPr>
          <w:color w:val="000000"/>
          <w:highlight w:val="none"/>
          <w:lang w:val="en-US"/>
        </w:rPr>
        <w:t>Worms Argentina S.A</w:t>
      </w:r>
      <w:r>
        <w:rPr>
          <w:rFonts w:hint="default"/>
          <w:color w:val="000000"/>
          <w:highlight w:val="none"/>
          <w:lang w:val="es-ES"/>
        </w:rPr>
        <w:t>.</w:t>
      </w:r>
      <w:r>
        <w:rPr>
          <w:highlight w:val="none"/>
          <w:lang w:val="en-US"/>
        </w:rPr>
        <w:t xml:space="preserve"> is located in the town of Arroyo Seco (Santa Fe) and the main generators operate within a ratio of 200km around the project location</w:t>
      </w:r>
      <w:r>
        <w:rPr>
          <w:rFonts w:eastAsia="Arial"/>
          <w:highlight w:val="none"/>
          <w:lang w:val="en-US"/>
        </w:rPr>
        <w:t>.</w:t>
      </w:r>
    </w:p>
    <w:p w14:paraId="315779D4">
      <w:pPr>
        <w:spacing w:after="0"/>
        <w:rPr>
          <w:highlight w:val="none"/>
          <w:lang w:val="en-US"/>
        </w:rPr>
      </w:pPr>
      <w:r>
        <w:rPr>
          <w:highlight w:val="none"/>
          <w:lang w:val="en-US"/>
        </w:rPr>
        <w:t xml:space="preserve">It should be noted that </w:t>
      </w:r>
      <w:r>
        <w:rPr>
          <w:color w:val="000000"/>
          <w:highlight w:val="none"/>
          <w:lang w:val="en-US"/>
        </w:rPr>
        <w:t>Worms Argentina S.A</w:t>
      </w:r>
      <w:r>
        <w:rPr>
          <w:highlight w:val="none"/>
          <w:lang w:val="en-US"/>
        </w:rPr>
        <w:t xml:space="preserve"> does not have distribution or facilities outside the plant for the sale of its product; the product obtained is sold at its plant to final consumers.</w:t>
      </w:r>
    </w:p>
    <w:tbl>
      <w:tblPr>
        <w:tblStyle w:val="24"/>
        <w:tblW w:w="0" w:type="auto"/>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6"/>
        <w:gridCol w:w="3059"/>
        <w:gridCol w:w="2485"/>
      </w:tblGrid>
      <w:tr w14:paraId="308C125D">
        <w:trPr>
          <w:trHeight w:val="359" w:hRule="atLeast"/>
        </w:trPr>
        <w:tc>
          <w:tcPr>
            <w:tcW w:w="2956" w:type="dxa"/>
          </w:tcPr>
          <w:p w14:paraId="03E98074">
            <w:pPr>
              <w:tabs>
                <w:tab w:val="left" w:pos="567"/>
              </w:tabs>
              <w:spacing w:before="0" w:after="0"/>
              <w:jc w:val="center"/>
              <w:rPr>
                <w:rFonts w:eastAsia="SimSun"/>
                <w:sz w:val="20"/>
                <w:szCs w:val="20"/>
                <w:highlight w:val="none"/>
                <w:lang w:val="en-US" w:eastAsia="es-ES"/>
              </w:rPr>
            </w:pPr>
            <w:r>
              <w:rPr>
                <w:rFonts w:eastAsia="SimSun"/>
                <w:sz w:val="20"/>
                <w:szCs w:val="20"/>
                <w:highlight w:val="none"/>
                <w:lang w:val="en-US" w:eastAsia="es-ES"/>
              </w:rPr>
              <w:t>INCOME</w:t>
            </w:r>
          </w:p>
        </w:tc>
        <w:tc>
          <w:tcPr>
            <w:tcW w:w="3059" w:type="dxa"/>
          </w:tcPr>
          <w:p w14:paraId="2FF18BBA">
            <w:pPr>
              <w:tabs>
                <w:tab w:val="left" w:pos="567"/>
              </w:tabs>
              <w:spacing w:before="0" w:after="0"/>
              <w:jc w:val="center"/>
              <w:rPr>
                <w:rFonts w:eastAsia="SimSun"/>
                <w:sz w:val="20"/>
                <w:szCs w:val="20"/>
                <w:highlight w:val="none"/>
                <w:lang w:val="en-US" w:eastAsia="es-ES"/>
              </w:rPr>
            </w:pPr>
            <w:r>
              <w:rPr>
                <w:rFonts w:eastAsia="SimSun"/>
                <w:sz w:val="20"/>
                <w:szCs w:val="20"/>
                <w:highlight w:val="none"/>
                <w:lang w:val="en-US" w:eastAsia="es-ES"/>
              </w:rPr>
              <w:t>PRODUCTION</w:t>
            </w:r>
          </w:p>
        </w:tc>
        <w:tc>
          <w:tcPr>
            <w:tcW w:w="2485" w:type="dxa"/>
          </w:tcPr>
          <w:p w14:paraId="608A3124">
            <w:pPr>
              <w:tabs>
                <w:tab w:val="left" w:pos="567"/>
              </w:tabs>
              <w:spacing w:before="0" w:after="0"/>
              <w:jc w:val="center"/>
              <w:rPr>
                <w:rFonts w:eastAsia="SimSun"/>
                <w:sz w:val="20"/>
                <w:szCs w:val="20"/>
                <w:highlight w:val="none"/>
                <w:lang w:val="en-US" w:eastAsia="es-ES"/>
              </w:rPr>
            </w:pPr>
            <w:r>
              <w:rPr>
                <w:rFonts w:eastAsia="SimSun"/>
                <w:sz w:val="20"/>
                <w:szCs w:val="20"/>
                <w:highlight w:val="none"/>
                <w:lang w:val="en-US" w:eastAsia="es-ES"/>
              </w:rPr>
              <w:t>DEPARTURES</w:t>
            </w:r>
          </w:p>
        </w:tc>
      </w:tr>
      <w:tr w14:paraId="2DC667E0">
        <w:trPr>
          <w:trHeight w:val="72" w:hRule="atLeast"/>
        </w:trPr>
        <w:tc>
          <w:tcPr>
            <w:tcW w:w="2956" w:type="dxa"/>
          </w:tcPr>
          <w:p w14:paraId="08A93CED">
            <w:pPr>
              <w:tabs>
                <w:tab w:val="left" w:pos="567"/>
              </w:tabs>
              <w:spacing w:before="0" w:after="0"/>
              <w:rPr>
                <w:rFonts w:eastAsia="SimSun"/>
                <w:sz w:val="20"/>
                <w:szCs w:val="20"/>
                <w:highlight w:val="none"/>
                <w:lang w:val="en-US" w:eastAsia="es-ES"/>
              </w:rPr>
            </w:pPr>
            <w:r>
              <w:rPr>
                <w:rFonts w:eastAsia="SimSun"/>
                <w:sz w:val="20"/>
                <w:szCs w:val="20"/>
                <w:highlight w:val="none"/>
                <w:lang w:val="en-US" w:eastAsia="es-ES"/>
              </w:rPr>
              <w:t>*Matter of agroindustries</w:t>
            </w:r>
          </w:p>
          <w:p w14:paraId="5F92F9FB">
            <w:pPr>
              <w:tabs>
                <w:tab w:val="left" w:pos="567"/>
              </w:tabs>
              <w:spacing w:before="0" w:after="0"/>
              <w:rPr>
                <w:rFonts w:eastAsia="SimSun"/>
                <w:sz w:val="20"/>
                <w:szCs w:val="20"/>
                <w:highlight w:val="none"/>
                <w:lang w:val="en-US" w:eastAsia="es-ES"/>
              </w:rPr>
            </w:pPr>
            <w:r>
              <w:rPr>
                <w:rFonts w:eastAsia="SimSun"/>
                <w:sz w:val="20"/>
                <w:szCs w:val="20"/>
                <w:highlight w:val="none"/>
                <w:lang w:val="en-US" w:eastAsia="es-ES"/>
              </w:rPr>
              <w:t xml:space="preserve">*fuel consumption until reaching the plant (does not correspond to </w:t>
            </w:r>
            <w:r>
              <w:rPr>
                <w:rFonts w:eastAsia="SimSun"/>
                <w:color w:val="000000"/>
                <w:sz w:val="20"/>
                <w:szCs w:val="20"/>
                <w:highlight w:val="none"/>
                <w:lang w:val="en-US" w:eastAsia="es-ES"/>
              </w:rPr>
              <w:t>Worms Argentina S.A</w:t>
            </w:r>
            <w:r>
              <w:rPr>
                <w:rFonts w:eastAsia="SimSun"/>
                <w:sz w:val="20"/>
                <w:szCs w:val="20"/>
                <w:highlight w:val="none"/>
                <w:lang w:val="en-US" w:eastAsia="es-ES"/>
              </w:rPr>
              <w:t>)</w:t>
            </w:r>
          </w:p>
          <w:p w14:paraId="248D00A1">
            <w:pPr>
              <w:tabs>
                <w:tab w:val="left" w:pos="567"/>
              </w:tabs>
              <w:spacing w:before="0" w:after="0"/>
              <w:rPr>
                <w:rFonts w:eastAsia="SimSun"/>
                <w:sz w:val="20"/>
                <w:szCs w:val="20"/>
                <w:highlight w:val="none"/>
                <w:lang w:val="en-US" w:eastAsia="es-ES"/>
              </w:rPr>
            </w:pPr>
            <w:r>
              <w:rPr>
                <w:rFonts w:eastAsia="SimSun"/>
                <w:sz w:val="20"/>
                <w:szCs w:val="20"/>
                <w:highlight w:val="none"/>
                <w:lang w:val="en-US" w:eastAsia="es-ES"/>
              </w:rPr>
              <w:t>*Packing material</w:t>
            </w:r>
          </w:p>
        </w:tc>
        <w:tc>
          <w:tcPr>
            <w:tcW w:w="3059" w:type="dxa"/>
          </w:tcPr>
          <w:p w14:paraId="505DF049">
            <w:pPr>
              <w:tabs>
                <w:tab w:val="left" w:pos="567"/>
              </w:tabs>
              <w:spacing w:before="0" w:after="0"/>
              <w:rPr>
                <w:rFonts w:eastAsia="SimSun"/>
                <w:sz w:val="20"/>
                <w:szCs w:val="20"/>
                <w:highlight w:val="none"/>
                <w:lang w:val="en-US" w:eastAsia="es-ES"/>
              </w:rPr>
            </w:pPr>
            <w:r>
              <w:rPr>
                <w:rFonts w:eastAsia="SimSun"/>
                <w:sz w:val="20"/>
                <w:szCs w:val="20"/>
                <w:highlight w:val="none"/>
                <w:lang w:val="en-US" w:eastAsia="es-ES"/>
              </w:rPr>
              <w:t>*composting and packaging</w:t>
            </w:r>
          </w:p>
          <w:p w14:paraId="3ED80B84">
            <w:pPr>
              <w:tabs>
                <w:tab w:val="left" w:pos="567"/>
              </w:tabs>
              <w:spacing w:before="0" w:after="0"/>
              <w:rPr>
                <w:rFonts w:eastAsia="SimSun"/>
                <w:sz w:val="20"/>
                <w:szCs w:val="20"/>
                <w:highlight w:val="none"/>
                <w:lang w:val="en-US" w:eastAsia="es-ES"/>
              </w:rPr>
            </w:pPr>
            <w:r>
              <w:rPr>
                <w:rFonts w:eastAsia="SimSun"/>
                <w:sz w:val="20"/>
                <w:szCs w:val="20"/>
                <w:highlight w:val="none"/>
                <w:lang w:val="en-US" w:eastAsia="es-ES"/>
              </w:rPr>
              <w:t>*co-products</w:t>
            </w:r>
          </w:p>
          <w:p w14:paraId="013EAF7B">
            <w:pPr>
              <w:tabs>
                <w:tab w:val="left" w:pos="567"/>
              </w:tabs>
              <w:spacing w:before="0" w:after="0"/>
              <w:rPr>
                <w:rFonts w:eastAsia="SimSun"/>
                <w:sz w:val="20"/>
                <w:szCs w:val="20"/>
                <w:highlight w:val="none"/>
                <w:lang w:val="en-US" w:eastAsia="es-ES"/>
              </w:rPr>
            </w:pPr>
            <w:r>
              <w:rPr>
                <w:rFonts w:eastAsia="SimSun"/>
                <w:sz w:val="20"/>
                <w:szCs w:val="20"/>
                <w:highlight w:val="none"/>
                <w:lang w:val="en-US" w:eastAsia="es-ES"/>
              </w:rPr>
              <w:t>*waste (it is reused in the composting process)</w:t>
            </w:r>
          </w:p>
          <w:p w14:paraId="5CDEC412">
            <w:pPr>
              <w:tabs>
                <w:tab w:val="left" w:pos="567"/>
              </w:tabs>
              <w:spacing w:before="0" w:after="0"/>
              <w:rPr>
                <w:rFonts w:eastAsia="SimSun"/>
                <w:sz w:val="20"/>
                <w:szCs w:val="20"/>
                <w:highlight w:val="none"/>
                <w:lang w:val="en-US" w:eastAsia="es-ES"/>
              </w:rPr>
            </w:pPr>
            <w:r>
              <w:rPr>
                <w:rFonts w:eastAsia="SimSun"/>
                <w:sz w:val="20"/>
                <w:szCs w:val="20"/>
                <w:highlight w:val="none"/>
                <w:lang w:val="en-US" w:eastAsia="es-ES"/>
              </w:rPr>
              <w:t>*power consumption</w:t>
            </w:r>
          </w:p>
          <w:p w14:paraId="6914BDD4">
            <w:pPr>
              <w:tabs>
                <w:tab w:val="left" w:pos="567"/>
              </w:tabs>
              <w:spacing w:before="0" w:after="0"/>
              <w:rPr>
                <w:rFonts w:eastAsia="SimSun"/>
                <w:sz w:val="20"/>
                <w:szCs w:val="20"/>
                <w:highlight w:val="none"/>
                <w:lang w:val="en-US" w:eastAsia="es-ES"/>
              </w:rPr>
            </w:pPr>
            <w:r>
              <w:rPr>
                <w:rFonts w:eastAsia="SimSun"/>
                <w:sz w:val="20"/>
                <w:szCs w:val="20"/>
                <w:highlight w:val="none"/>
                <w:lang w:val="en-US" w:eastAsia="es-ES"/>
              </w:rPr>
              <w:t>*fuel consumption</w:t>
            </w:r>
          </w:p>
        </w:tc>
        <w:tc>
          <w:tcPr>
            <w:tcW w:w="2485" w:type="dxa"/>
          </w:tcPr>
          <w:p w14:paraId="5BC36AC5">
            <w:pPr>
              <w:tabs>
                <w:tab w:val="left" w:pos="567"/>
              </w:tabs>
              <w:spacing w:before="0" w:after="0"/>
              <w:rPr>
                <w:rFonts w:eastAsia="SimSun"/>
                <w:sz w:val="20"/>
                <w:szCs w:val="20"/>
                <w:highlight w:val="none"/>
                <w:lang w:val="en-US" w:eastAsia="es-ES"/>
              </w:rPr>
            </w:pPr>
            <w:r>
              <w:rPr>
                <w:rFonts w:eastAsia="SimSun"/>
                <w:sz w:val="20"/>
                <w:szCs w:val="20"/>
                <w:highlight w:val="none"/>
                <w:lang w:val="en-US" w:eastAsia="es-ES"/>
              </w:rPr>
              <w:t>*Distribution (only makes direct sales)</w:t>
            </w:r>
          </w:p>
          <w:p w14:paraId="72E3F1F6">
            <w:pPr>
              <w:tabs>
                <w:tab w:val="left" w:pos="567"/>
              </w:tabs>
              <w:spacing w:before="0" w:after="0"/>
              <w:rPr>
                <w:rFonts w:eastAsia="SimSun"/>
                <w:sz w:val="20"/>
                <w:szCs w:val="20"/>
                <w:highlight w:val="none"/>
                <w:lang w:val="en-US" w:eastAsia="es-ES"/>
              </w:rPr>
            </w:pPr>
            <w:r>
              <w:rPr>
                <w:rFonts w:eastAsia="SimSun"/>
                <w:sz w:val="20"/>
                <w:szCs w:val="20"/>
                <w:highlight w:val="none"/>
                <w:lang w:val="en-US" w:eastAsia="es-ES"/>
              </w:rPr>
              <w:t>*electricity consumption (included in production)</w:t>
            </w:r>
          </w:p>
        </w:tc>
      </w:tr>
    </w:tbl>
    <w:p w14:paraId="783B44F7">
      <w:pPr>
        <w:rPr>
          <w:rFonts w:hint="default" w:eastAsia="Calibri"/>
          <w:highlight w:val="none"/>
          <w:lang w:val="es-ES"/>
        </w:rPr>
      </w:pPr>
    </w:p>
    <w:p w14:paraId="13A642C6">
      <w:pPr>
        <w:rPr>
          <w:rFonts w:hint="default" w:eastAsia="Calibri"/>
          <w:highlight w:val="none"/>
          <w:lang w:val="es-ES"/>
        </w:rPr>
      </w:pPr>
    </w:p>
    <w:p w14:paraId="43264E85">
      <w:pPr>
        <w:rPr>
          <w:rFonts w:hint="default" w:eastAsia="Calibri"/>
          <w:highlight w:val="none"/>
          <w:lang w:val="es-ES"/>
        </w:rPr>
      </w:pPr>
    </w:p>
    <w:p w14:paraId="62C72D72">
      <w:pPr>
        <w:rPr>
          <w:rFonts w:hint="default" w:eastAsia="Calibri"/>
          <w:highlight w:val="none"/>
          <w:lang w:val="es-ES"/>
        </w:rPr>
      </w:pPr>
    </w:p>
    <w:tbl>
      <w:tblPr>
        <w:tblStyle w:val="12"/>
        <w:tblW w:w="83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5"/>
        <w:gridCol w:w="3684"/>
      </w:tblGrid>
      <w:tr w14:paraId="2F235AEB">
        <w:trPr>
          <w:tblHeader/>
        </w:trPr>
        <w:tc>
          <w:tcPr>
            <w:tcW w:w="4675" w:type="dxa"/>
            <w:vAlign w:val="center"/>
          </w:tcPr>
          <w:p w14:paraId="23DE6149">
            <w:pPr>
              <w:jc w:val="center"/>
              <w:rPr>
                <w:color w:val="000000"/>
                <w:highlight w:val="none"/>
                <w:u w:val="single"/>
              </w:rPr>
            </w:pPr>
            <w:r>
              <w:rPr>
                <w:color w:val="000000"/>
                <w:highlight w:val="none"/>
                <w:u w:val="single"/>
              </w:rPr>
              <w:t>Physical address</w:t>
            </w:r>
          </w:p>
        </w:tc>
        <w:tc>
          <w:tcPr>
            <w:tcW w:w="3684" w:type="dxa"/>
            <w:vAlign w:val="center"/>
          </w:tcPr>
          <w:p w14:paraId="2546FB4C">
            <w:pPr>
              <w:jc w:val="center"/>
              <w:rPr>
                <w:color w:val="000000"/>
                <w:highlight w:val="none"/>
                <w:u w:val="single"/>
              </w:rPr>
            </w:pPr>
            <w:r>
              <w:rPr>
                <w:color w:val="000000"/>
                <w:highlight w:val="none"/>
                <w:u w:val="single"/>
              </w:rPr>
              <w:t>Geographic coordinates/Other information</w:t>
            </w:r>
          </w:p>
        </w:tc>
      </w:tr>
      <w:tr w14:paraId="319FE27A">
        <w:trPr>
          <w:trHeight w:val="1449" w:hRule="atLeast"/>
        </w:trPr>
        <w:tc>
          <w:tcPr>
            <w:tcW w:w="4675" w:type="dxa"/>
            <w:vAlign w:val="center"/>
          </w:tcPr>
          <w:p w14:paraId="7A63A7B5">
            <w:pPr>
              <w:pBdr>
                <w:top w:val="none" w:color="auto" w:sz="0" w:space="0"/>
                <w:left w:val="none" w:color="auto" w:sz="0" w:space="0"/>
                <w:bottom w:val="none" w:color="auto" w:sz="0" w:space="0"/>
                <w:right w:val="none" w:color="auto" w:sz="0" w:space="0"/>
                <w:between w:val="none" w:color="auto" w:sz="0" w:space="0"/>
              </w:pBdr>
              <w:spacing w:before="200" w:after="160" w:line="259" w:lineRule="auto"/>
              <w:ind w:left="864" w:right="864"/>
              <w:jc w:val="center"/>
              <w:rPr>
                <w:color w:val="000000"/>
                <w:highlight w:val="none"/>
              </w:rPr>
            </w:pPr>
            <w:r>
              <w:rPr>
                <w:color w:val="000000"/>
                <w:highlight w:val="none"/>
              </w:rPr>
              <w:t>Industrial Sector 3 Prof. Nucci St. S/N between Buenos Aires highway and San Martín street, Arroyo Seco, Santa Fe, Argentina</w:t>
            </w:r>
          </w:p>
        </w:tc>
        <w:tc>
          <w:tcPr>
            <w:tcW w:w="3684" w:type="dxa"/>
            <w:vAlign w:val="center"/>
          </w:tcPr>
          <w:p w14:paraId="5C25CFC0">
            <w:pPr>
              <w:pBdr>
                <w:top w:val="none" w:color="auto" w:sz="0" w:space="0"/>
                <w:left w:val="none" w:color="auto" w:sz="0" w:space="0"/>
                <w:bottom w:val="none" w:color="auto" w:sz="0" w:space="0"/>
                <w:right w:val="none" w:color="auto" w:sz="0" w:space="0"/>
                <w:between w:val="none" w:color="auto" w:sz="0" w:space="0"/>
              </w:pBdr>
              <w:tabs>
                <w:tab w:val="left" w:pos="3569"/>
              </w:tabs>
              <w:spacing w:before="200" w:after="160" w:line="259" w:lineRule="auto"/>
              <w:ind w:left="167" w:right="864"/>
              <w:jc w:val="center"/>
              <w:rPr>
                <w:color w:val="000000"/>
                <w:highlight w:val="none"/>
              </w:rPr>
            </w:pPr>
            <w:r>
              <w:rPr>
                <w:color w:val="202124"/>
                <w:highlight w:val="none"/>
              </w:rPr>
              <w:t>33°08'28.7"S, 60°32'09.3"W</w:t>
            </w:r>
          </w:p>
        </w:tc>
      </w:tr>
      <w:tr w14:paraId="0C79BB8A">
        <w:trPr>
          <w:trHeight w:val="3784" w:hRule="atLeast"/>
        </w:trPr>
        <w:tc>
          <w:tcPr>
            <w:tcW w:w="8359" w:type="dxa"/>
            <w:gridSpan w:val="2"/>
            <w:vAlign w:val="center"/>
          </w:tcPr>
          <w:p w14:paraId="348F29B4">
            <w:pPr>
              <w:spacing w:before="0" w:after="0"/>
              <w:jc w:val="center"/>
              <w:rPr>
                <w:highlight w:val="none"/>
                <w:lang w:eastAsia="es-ES"/>
              </w:rPr>
            </w:pPr>
            <w:r>
              <w:rPr>
                <w:rFonts w:hint="default"/>
                <w:highlight w:val="none"/>
              </w:rPr>
              <w:fldChar w:fldCharType="begin"/>
            </w:r>
            <w:r>
              <w:rPr>
                <w:rFonts w:hint="default"/>
                <w:highlight w:val="none"/>
              </w:rPr>
              <w:instrText xml:space="preserve"> HYPERLINK "https://maps.app.goo.gl/NxNMjtcmwnuV4QpHA" </w:instrText>
            </w:r>
            <w:r>
              <w:rPr>
                <w:rFonts w:hint="default"/>
                <w:highlight w:val="none"/>
              </w:rPr>
              <w:fldChar w:fldCharType="separate"/>
            </w:r>
            <w:r>
              <w:rPr>
                <w:rStyle w:val="20"/>
                <w:rFonts w:hint="default"/>
                <w:highlight w:val="none"/>
              </w:rPr>
              <w:t>https://maps.app.goo.gl/NxNMjtcmwnuV4QpHA</w:t>
            </w:r>
            <w:r>
              <w:rPr>
                <w:rFonts w:hint="default"/>
                <w:highlight w:val="none"/>
              </w:rPr>
              <w:fldChar w:fldCharType="end"/>
            </w:r>
          </w:p>
          <w:p w14:paraId="059A8289">
            <w:pPr>
              <w:jc w:val="center"/>
              <w:rPr>
                <w:highlight w:val="none"/>
                <w:lang w:eastAsia="es-ES"/>
              </w:rPr>
            </w:pPr>
            <w:r>
              <w:rPr>
                <w:highlight w:val="none"/>
                <w:lang w:eastAsia="es-ES"/>
              </w:rPr>
              <w:drawing>
                <wp:inline distT="114300" distB="114300" distL="114300" distR="114300">
                  <wp:extent cx="5076825" cy="2256790"/>
                  <wp:effectExtent l="0" t="0" r="3175" b="3810"/>
                  <wp:docPr id="5171" name="image6.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5171" name="image6.png" descr="Mapa&#10;&#10;Descripción generada automáticamente"/>
                          <pic:cNvPicPr preferRelativeResize="0"/>
                        </pic:nvPicPr>
                        <pic:blipFill>
                          <a:blip r:embed="rId14"/>
                          <a:srcRect/>
                          <a:stretch>
                            <a:fillRect/>
                          </a:stretch>
                        </pic:blipFill>
                        <pic:spPr>
                          <a:xfrm>
                            <a:off x="0" y="0"/>
                            <a:ext cx="5076826" cy="2256873"/>
                          </a:xfrm>
                          <a:prstGeom prst="rect">
                            <a:avLst/>
                          </a:prstGeom>
                        </pic:spPr>
                      </pic:pic>
                    </a:graphicData>
                  </a:graphic>
                </wp:inline>
              </w:drawing>
            </w:r>
          </w:p>
          <w:p w14:paraId="2EC31141">
            <w:pPr>
              <w:jc w:val="center"/>
              <w:rPr>
                <w:highlight w:val="none"/>
              </w:rPr>
            </w:pPr>
            <w:r>
              <w:rPr>
                <w:rFonts w:hint="default" w:ascii="Arial Italic" w:hAnsi="Arial Italic" w:cs="Arial Italic"/>
                <w:i/>
                <w:iCs/>
                <w:color w:val="000000"/>
                <w:sz w:val="22"/>
                <w:szCs w:val="22"/>
                <w:highlight w:val="none"/>
                <w:lang w:val="es-ES"/>
              </w:rPr>
              <w:t>Figure 2. Picture from the location of Worms Argentina S.A. Source: Google Earth</w:t>
            </w:r>
          </w:p>
        </w:tc>
      </w:tr>
    </w:tbl>
    <w:p w14:paraId="35744D91">
      <w:pPr>
        <w:pStyle w:val="3"/>
        <w:numPr>
          <w:ilvl w:val="1"/>
          <w:numId w:val="0"/>
        </w:numPr>
        <w:ind w:leftChars="0"/>
        <w:rPr>
          <w:rFonts w:eastAsia="Calibri"/>
          <w:highlight w:val="none"/>
        </w:rPr>
      </w:pPr>
    </w:p>
    <w:p w14:paraId="7097A04E">
      <w:pPr>
        <w:pStyle w:val="3"/>
        <w:rPr>
          <w:rFonts w:eastAsia="Calibri"/>
          <w:highlight w:val="none"/>
        </w:rPr>
      </w:pPr>
      <w:bookmarkStart w:id="6" w:name="_Toc1883627485"/>
      <w:r>
        <w:rPr>
          <w:rFonts w:eastAsia="Calibri"/>
          <w:highlight w:val="none"/>
        </w:rPr>
        <w:t>Summary Description of the Implementation Status of the Project</w:t>
      </w:r>
      <w:bookmarkEnd w:id="6"/>
    </w:p>
    <w:p w14:paraId="7A5ED310">
      <w:pPr>
        <w:spacing w:after="0"/>
        <w:rPr>
          <w:highlight w:val="none"/>
        </w:rPr>
      </w:pPr>
      <w:r>
        <w:rPr>
          <w:highlight w:val="none"/>
        </w:rPr>
        <w:t>The project involves reducing the emission of methane into the atmosphere from organic matter (from non-hazardous organic waste from biodiesel, oil and cellulose plants, the dairy industry, breweries and agro-industries that produce GHG) that otherwise, they would have been left to decompose anaerobically in a solid waste disposal site (SWDS) or in an animal waste management system (AWMS), or in a wastewater treatment system (WWTS). Controlled aerobic treatment through biomass composting is introduced in the project activity.</w:t>
      </w:r>
    </w:p>
    <w:p w14:paraId="22D4030D">
      <w:pPr>
        <w:spacing w:after="0"/>
        <w:rPr>
          <w:highlight w:val="none"/>
        </w:rPr>
      </w:pPr>
      <w:r>
        <w:rPr>
          <w:highlight w:val="none"/>
        </w:rPr>
        <w:t>The project activity consists of composting the organic fraction of non-hazardous organic waste from biodiesel, oil and cellulose plants, the dairy industry, breweries and agro-industries that produce GHG. It does NOT involve any of the below:</w:t>
      </w:r>
    </w:p>
    <w:p w14:paraId="3A85D57A">
      <w:pPr>
        <w:pStyle w:val="35"/>
        <w:numPr>
          <w:ilvl w:val="0"/>
          <w:numId w:val="5"/>
        </w:numPr>
        <w:spacing w:after="0"/>
        <w:rPr>
          <w:highlight w:val="none"/>
        </w:rPr>
      </w:pPr>
      <w:r>
        <w:rPr>
          <w:highlight w:val="none"/>
        </w:rPr>
        <w:t>Recover or combust landfill gas from disposal site.</w:t>
      </w:r>
    </w:p>
    <w:p w14:paraId="3B5B754C">
      <w:pPr>
        <w:pStyle w:val="35"/>
        <w:numPr>
          <w:ilvl w:val="0"/>
          <w:numId w:val="5"/>
        </w:numPr>
        <w:spacing w:after="0"/>
        <w:rPr>
          <w:highlight w:val="none"/>
        </w:rPr>
      </w:pPr>
      <w:r>
        <w:rPr>
          <w:highlight w:val="none"/>
        </w:rPr>
        <w:t>Undertake controlled combustion of the waste that is not treated biologically in a first step.</w:t>
      </w:r>
    </w:p>
    <w:p w14:paraId="3EAFC57E">
      <w:pPr>
        <w:pStyle w:val="35"/>
        <w:numPr>
          <w:ilvl w:val="0"/>
          <w:numId w:val="5"/>
        </w:numPr>
        <w:spacing w:after="0"/>
        <w:rPr>
          <w:highlight w:val="none"/>
        </w:rPr>
      </w:pPr>
      <w:r>
        <w:rPr>
          <w:highlight w:val="none"/>
        </w:rPr>
        <w:t>Recover biogas from wastewater treatment.</w:t>
      </w:r>
    </w:p>
    <w:p w14:paraId="7838474A">
      <w:pPr>
        <w:pStyle w:val="35"/>
        <w:numPr>
          <w:ilvl w:val="0"/>
          <w:numId w:val="5"/>
        </w:numPr>
        <w:spacing w:after="0"/>
        <w:rPr>
          <w:highlight w:val="none"/>
        </w:rPr>
      </w:pPr>
      <w:r>
        <w:rPr>
          <w:highlight w:val="none"/>
        </w:rPr>
        <w:t>Co-digestion of organic matters.</w:t>
      </w:r>
    </w:p>
    <w:p w14:paraId="21F13E43">
      <w:pPr>
        <w:spacing w:after="0"/>
        <w:rPr>
          <w:highlight w:val="none"/>
        </w:rPr>
      </w:pPr>
    </w:p>
    <w:tbl>
      <w:tblPr>
        <w:tblStyle w:val="12"/>
        <w:tblpPr w:leftFromText="141" w:rightFromText="141" w:vertAnchor="text" w:horzAnchor="margin" w:tblpXSpec="center" w:tblpY="-2"/>
        <w:tblW w:w="62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
      <w:tblGrid>
        <w:gridCol w:w="3070"/>
        <w:gridCol w:w="1283"/>
        <w:gridCol w:w="1884"/>
      </w:tblGrid>
      <w:tr w14:paraId="03EB496D">
        <w:trPr>
          <w:trHeight w:val="35" w:hRule="atLeast"/>
        </w:trPr>
        <w:tc>
          <w:tcPr>
            <w:tcW w:w="30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20" w:type="dxa"/>
              <w:left w:w="20" w:type="dxa"/>
              <w:bottom w:w="100" w:type="dxa"/>
              <w:right w:w="20" w:type="dxa"/>
            </w:tcMar>
          </w:tcPr>
          <w:p w14:paraId="2F002A94">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rFonts w:hint="default"/>
                <w:highlight w:val="none"/>
                <w:u w:val="single"/>
                <w:lang w:val="es-ES"/>
              </w:rPr>
            </w:pPr>
            <w:r>
              <w:rPr>
                <w:rFonts w:hint="default"/>
                <w:highlight w:val="none"/>
                <w:u w:val="single"/>
                <w:lang w:val="es-ES"/>
              </w:rPr>
              <w:t>YEAR</w:t>
            </w:r>
          </w:p>
        </w:tc>
        <w:tc>
          <w:tcPr>
            <w:tcW w:w="3167" w:type="dxa"/>
            <w:gridSpan w:val="2"/>
            <w:tcBorders>
              <w:top w:val="single" w:color="000000" w:themeColor="text1" w:sz="6" w:space="0"/>
              <w:left w:val="nil"/>
              <w:bottom w:val="single" w:color="000000" w:themeColor="text1" w:sz="6" w:space="0"/>
              <w:right w:val="single" w:color="000000" w:themeColor="text1" w:sz="6" w:space="0"/>
            </w:tcBorders>
            <w:shd w:val="clear" w:color="auto" w:fill="auto"/>
            <w:tcMar>
              <w:top w:w="20" w:type="dxa"/>
              <w:left w:w="20" w:type="dxa"/>
              <w:bottom w:w="100" w:type="dxa"/>
              <w:right w:w="20" w:type="dxa"/>
            </w:tcMar>
          </w:tcPr>
          <w:p w14:paraId="346E3B72">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u w:val="single"/>
              </w:rPr>
            </w:pPr>
            <w:r>
              <w:rPr>
                <w:highlight w:val="none"/>
                <w:u w:val="single"/>
              </w:rPr>
              <w:t>TOTAL EMISSIONS SAVINGS</w:t>
            </w:r>
          </w:p>
        </w:tc>
      </w:tr>
      <w:tr w14:paraId="721CC293">
        <w:trPr>
          <w:trHeight w:val="101" w:hRule="atLeast"/>
        </w:trPr>
        <w:tc>
          <w:tcPr>
            <w:tcW w:w="3070" w:type="dxa"/>
            <w:tcBorders>
              <w:top w:val="nil"/>
              <w:left w:val="single" w:color="000000" w:themeColor="text1" w:sz="6" w:space="0"/>
              <w:bottom w:val="single" w:color="000000" w:themeColor="text1" w:sz="6" w:space="0"/>
              <w:right w:val="single" w:color="000000" w:themeColor="text1" w:sz="6" w:space="0"/>
            </w:tcBorders>
            <w:shd w:val="clear" w:color="auto" w:fill="auto"/>
            <w:tcMar>
              <w:top w:w="20" w:type="dxa"/>
              <w:left w:w="20" w:type="dxa"/>
              <w:bottom w:w="100" w:type="dxa"/>
              <w:right w:w="20" w:type="dxa"/>
            </w:tcMar>
            <w:vAlign w:val="bottom"/>
          </w:tcPr>
          <w:p w14:paraId="746C993C">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color w:val="000000" w:themeColor="text1"/>
                <w:highlight w:val="none"/>
                <w14:textFill>
                  <w14:solidFill>
                    <w14:schemeClr w14:val="tx1"/>
                  </w14:solidFill>
                </w14:textFill>
              </w:rPr>
            </w:pPr>
            <w:r>
              <w:rPr>
                <w:rFonts w:ascii="Arial Regular" w:hAnsi="Arial Regular" w:eastAsia="SimSun" w:cs="Arial Regular"/>
                <w:color w:val="000000"/>
                <w:highlight w:val="none"/>
                <w:lang w:eastAsia="zh-CN" w:bidi="ar"/>
              </w:rPr>
              <w:t>1/april/2018-31/march/2019</w:t>
            </w:r>
          </w:p>
        </w:tc>
        <w:tc>
          <w:tcPr>
            <w:tcW w:w="3167" w:type="dxa"/>
            <w:gridSpan w:val="2"/>
            <w:tcBorders>
              <w:top w:val="nil"/>
              <w:left w:val="nil"/>
              <w:bottom w:val="single" w:color="000000" w:themeColor="text1" w:sz="6" w:space="0"/>
              <w:right w:val="single" w:color="000000" w:themeColor="text1" w:sz="6" w:space="0"/>
            </w:tcBorders>
            <w:shd w:val="clear" w:color="auto" w:fill="auto"/>
            <w:tcMar>
              <w:top w:w="20" w:type="dxa"/>
              <w:left w:w="20" w:type="dxa"/>
              <w:bottom w:w="100" w:type="dxa"/>
              <w:right w:w="20" w:type="dxa"/>
            </w:tcMar>
            <w:vAlign w:val="bottom"/>
          </w:tcPr>
          <w:p w14:paraId="053F8D4F">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rFonts w:ascii="Arial Regular" w:hAnsi="Arial Regular" w:eastAsia="SimSun" w:cs="Arial Regular"/>
                <w:color w:val="000000"/>
                <w:highlight w:val="none"/>
                <w:lang w:eastAsia="zh-CN" w:bidi="ar"/>
              </w:rPr>
            </w:pPr>
            <w:r>
              <w:rPr>
                <w:rFonts w:hint="default" w:ascii="Arial Regular" w:hAnsi="Arial Regular" w:eastAsia="SimSun" w:cs="Arial Regular"/>
                <w:color w:val="000000"/>
                <w:highlight w:val="none"/>
                <w:lang w:val="en-US" w:eastAsia="zh-CN" w:bidi="ar"/>
              </w:rPr>
              <w:t>9,525</w:t>
            </w:r>
          </w:p>
        </w:tc>
      </w:tr>
      <w:tr w14:paraId="68F27199">
        <w:trPr>
          <w:trHeight w:val="400" w:hRule="atLeast"/>
        </w:trPr>
        <w:tc>
          <w:tcPr>
            <w:tcW w:w="3070" w:type="dxa"/>
            <w:tcBorders>
              <w:top w:val="nil"/>
              <w:left w:val="single" w:color="000000" w:themeColor="text1" w:sz="6" w:space="0"/>
              <w:bottom w:val="single" w:color="000000" w:themeColor="text1" w:sz="6" w:space="0"/>
              <w:right w:val="single" w:color="000000" w:themeColor="text1" w:sz="6" w:space="0"/>
            </w:tcBorders>
            <w:shd w:val="clear" w:color="auto" w:fill="auto"/>
            <w:tcMar>
              <w:top w:w="20" w:type="dxa"/>
              <w:left w:w="20" w:type="dxa"/>
              <w:bottom w:w="100" w:type="dxa"/>
              <w:right w:w="20" w:type="dxa"/>
            </w:tcMar>
            <w:vAlign w:val="bottom"/>
          </w:tcPr>
          <w:p w14:paraId="5461680E">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color w:val="000000" w:themeColor="text1"/>
                <w:highlight w:val="none"/>
                <w14:textFill>
                  <w14:solidFill>
                    <w14:schemeClr w14:val="tx1"/>
                  </w14:solidFill>
                </w14:textFill>
              </w:rPr>
            </w:pPr>
            <w:r>
              <w:rPr>
                <w:rFonts w:ascii="Arial Regular" w:hAnsi="Arial Regular" w:eastAsia="SimSun" w:cs="Arial Regular"/>
                <w:color w:val="000000"/>
                <w:highlight w:val="none"/>
                <w:lang w:eastAsia="zh-CN" w:bidi="ar"/>
              </w:rPr>
              <w:t>1/april/2019-31/march/2020</w:t>
            </w:r>
          </w:p>
        </w:tc>
        <w:tc>
          <w:tcPr>
            <w:tcW w:w="3167" w:type="dxa"/>
            <w:gridSpan w:val="2"/>
            <w:tcBorders>
              <w:top w:val="nil"/>
              <w:left w:val="nil"/>
              <w:bottom w:val="single" w:color="000000" w:themeColor="text1" w:sz="6" w:space="0"/>
              <w:right w:val="single" w:color="000000" w:themeColor="text1" w:sz="6" w:space="0"/>
            </w:tcBorders>
            <w:shd w:val="clear" w:color="auto" w:fill="auto"/>
            <w:tcMar>
              <w:top w:w="20" w:type="dxa"/>
              <w:left w:w="20" w:type="dxa"/>
              <w:bottom w:w="100" w:type="dxa"/>
              <w:right w:w="20" w:type="dxa"/>
            </w:tcMar>
            <w:vAlign w:val="bottom"/>
          </w:tcPr>
          <w:p w14:paraId="37E1B53B">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rFonts w:ascii="Arial Regular" w:hAnsi="Arial Regular" w:eastAsia="SimSun" w:cs="Arial Regular"/>
                <w:color w:val="000000"/>
                <w:highlight w:val="none"/>
                <w:lang w:eastAsia="zh-CN" w:bidi="ar"/>
              </w:rPr>
            </w:pPr>
            <w:r>
              <w:rPr>
                <w:rFonts w:hint="default" w:ascii="Arial Regular" w:hAnsi="Arial Regular" w:eastAsia="SimSun" w:cs="Arial Regular"/>
                <w:color w:val="000000"/>
                <w:highlight w:val="none"/>
                <w:lang w:val="en-US" w:eastAsia="zh-CN" w:bidi="ar"/>
              </w:rPr>
              <w:t>13,052</w:t>
            </w:r>
          </w:p>
        </w:tc>
      </w:tr>
      <w:tr w14:paraId="26335525">
        <w:trPr>
          <w:trHeight w:val="50" w:hRule="atLeast"/>
        </w:trPr>
        <w:tc>
          <w:tcPr>
            <w:tcW w:w="3070" w:type="dxa"/>
            <w:tcBorders>
              <w:top w:val="nil"/>
              <w:left w:val="single" w:color="000000" w:themeColor="text1" w:sz="6" w:space="0"/>
              <w:bottom w:val="single" w:color="000000" w:themeColor="text1" w:sz="6" w:space="0"/>
              <w:right w:val="single" w:color="000000" w:themeColor="text1" w:sz="6" w:space="0"/>
            </w:tcBorders>
            <w:shd w:val="clear" w:color="auto" w:fill="auto"/>
            <w:tcMar>
              <w:top w:w="20" w:type="dxa"/>
              <w:left w:w="20" w:type="dxa"/>
              <w:bottom w:w="100" w:type="dxa"/>
              <w:right w:w="20" w:type="dxa"/>
            </w:tcMar>
            <w:vAlign w:val="bottom"/>
          </w:tcPr>
          <w:p w14:paraId="37FCDA44">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color w:val="000000" w:themeColor="text1"/>
                <w:highlight w:val="none"/>
                <w14:textFill>
                  <w14:solidFill>
                    <w14:schemeClr w14:val="tx1"/>
                  </w14:solidFill>
                </w14:textFill>
              </w:rPr>
            </w:pPr>
            <w:r>
              <w:rPr>
                <w:rFonts w:ascii="Arial Regular" w:hAnsi="Arial Regular" w:eastAsia="SimSun" w:cs="Arial Regular"/>
                <w:color w:val="000000"/>
                <w:highlight w:val="none"/>
                <w:lang w:eastAsia="zh-CN" w:bidi="ar"/>
              </w:rPr>
              <w:t>1/april/2020-31/march/2021</w:t>
            </w:r>
          </w:p>
        </w:tc>
        <w:tc>
          <w:tcPr>
            <w:tcW w:w="3167" w:type="dxa"/>
            <w:gridSpan w:val="2"/>
            <w:tcBorders>
              <w:top w:val="nil"/>
              <w:left w:val="nil"/>
              <w:bottom w:val="single" w:color="000000" w:themeColor="text1" w:sz="6" w:space="0"/>
              <w:right w:val="single" w:color="000000" w:themeColor="text1" w:sz="6" w:space="0"/>
            </w:tcBorders>
            <w:shd w:val="clear" w:color="auto" w:fill="auto"/>
            <w:tcMar>
              <w:top w:w="20" w:type="dxa"/>
              <w:left w:w="20" w:type="dxa"/>
              <w:bottom w:w="100" w:type="dxa"/>
              <w:right w:w="20" w:type="dxa"/>
            </w:tcMar>
            <w:vAlign w:val="bottom"/>
          </w:tcPr>
          <w:p w14:paraId="7A4E3AD1">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rFonts w:ascii="Arial Regular" w:hAnsi="Arial Regular" w:eastAsia="SimSun" w:cs="Arial Regular"/>
                <w:color w:val="000000"/>
                <w:highlight w:val="none"/>
                <w:lang w:eastAsia="zh-CN" w:bidi="ar"/>
              </w:rPr>
            </w:pPr>
            <w:r>
              <w:rPr>
                <w:rFonts w:hint="default" w:ascii="Arial Regular" w:hAnsi="Arial Regular" w:eastAsia="SimSun" w:cs="Arial Regular"/>
                <w:color w:val="000000"/>
                <w:highlight w:val="none"/>
                <w:lang w:val="en-US" w:eastAsia="zh-CN" w:bidi="ar"/>
              </w:rPr>
              <w:t>10,974</w:t>
            </w:r>
          </w:p>
        </w:tc>
      </w:tr>
      <w:tr w14:paraId="2942B995">
        <w:trPr>
          <w:trHeight w:val="50" w:hRule="atLeast"/>
        </w:trPr>
        <w:tc>
          <w:tcPr>
            <w:tcW w:w="3070" w:type="dxa"/>
            <w:tcBorders>
              <w:top w:val="nil"/>
              <w:left w:val="single" w:color="000000" w:themeColor="text1" w:sz="6" w:space="0"/>
              <w:bottom w:val="single" w:color="000000" w:themeColor="text1" w:sz="6" w:space="0"/>
              <w:right w:val="single" w:color="000000" w:themeColor="text1" w:sz="6" w:space="0"/>
            </w:tcBorders>
            <w:shd w:val="clear" w:color="auto" w:fill="auto"/>
            <w:tcMar>
              <w:top w:w="20" w:type="dxa"/>
              <w:left w:w="20" w:type="dxa"/>
              <w:bottom w:w="100" w:type="dxa"/>
              <w:right w:w="20" w:type="dxa"/>
            </w:tcMar>
            <w:vAlign w:val="bottom"/>
          </w:tcPr>
          <w:p w14:paraId="1A56319A">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color w:val="000000" w:themeColor="text1"/>
                <w:highlight w:val="none"/>
                <w14:textFill>
                  <w14:solidFill>
                    <w14:schemeClr w14:val="tx1"/>
                  </w14:solidFill>
                </w14:textFill>
              </w:rPr>
            </w:pPr>
            <w:r>
              <w:rPr>
                <w:rFonts w:ascii="Arial Regular" w:hAnsi="Arial Regular" w:eastAsia="SimSun" w:cs="Arial Regular"/>
                <w:color w:val="000000"/>
                <w:highlight w:val="none"/>
                <w:lang w:eastAsia="zh-CN" w:bidi="ar"/>
              </w:rPr>
              <w:t>1/april/2021-31/march/2022</w:t>
            </w:r>
          </w:p>
        </w:tc>
        <w:tc>
          <w:tcPr>
            <w:tcW w:w="3167" w:type="dxa"/>
            <w:gridSpan w:val="2"/>
            <w:tcBorders>
              <w:top w:val="nil"/>
              <w:left w:val="nil"/>
              <w:bottom w:val="single" w:color="000000" w:themeColor="text1" w:sz="6" w:space="0"/>
              <w:right w:val="single" w:color="000000" w:themeColor="text1" w:sz="6" w:space="0"/>
            </w:tcBorders>
            <w:shd w:val="clear" w:color="auto" w:fill="auto"/>
            <w:tcMar>
              <w:top w:w="20" w:type="dxa"/>
              <w:left w:w="20" w:type="dxa"/>
              <w:bottom w:w="100" w:type="dxa"/>
              <w:right w:w="20" w:type="dxa"/>
            </w:tcMar>
            <w:vAlign w:val="bottom"/>
          </w:tcPr>
          <w:p w14:paraId="77B9AD85">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rFonts w:ascii="Arial Regular" w:hAnsi="Arial Regular" w:eastAsia="SimSun" w:cs="Arial Regular"/>
                <w:color w:val="000000"/>
                <w:highlight w:val="none"/>
                <w:lang w:eastAsia="zh-CN" w:bidi="ar"/>
              </w:rPr>
            </w:pPr>
            <w:r>
              <w:rPr>
                <w:rFonts w:hint="default" w:ascii="Arial Regular" w:hAnsi="Arial Regular" w:eastAsia="SimSun" w:cs="Arial Regular"/>
                <w:color w:val="000000"/>
                <w:highlight w:val="none"/>
                <w:lang w:val="en-US" w:eastAsia="zh-CN" w:bidi="ar"/>
              </w:rPr>
              <w:t>13,275</w:t>
            </w:r>
          </w:p>
        </w:tc>
      </w:tr>
      <w:tr w14:paraId="07CE2D61">
        <w:trPr>
          <w:trHeight w:val="400" w:hRule="atLeast"/>
        </w:trPr>
        <w:tc>
          <w:tcPr>
            <w:tcW w:w="3070" w:type="dxa"/>
            <w:tcBorders>
              <w:top w:val="nil"/>
              <w:left w:val="single" w:color="000000" w:themeColor="text1" w:sz="6" w:space="0"/>
              <w:bottom w:val="single" w:color="000000" w:themeColor="text1" w:sz="6" w:space="0"/>
              <w:right w:val="single" w:color="000000" w:themeColor="text1" w:sz="6" w:space="0"/>
            </w:tcBorders>
            <w:shd w:val="clear" w:color="auto" w:fill="auto"/>
            <w:tcMar>
              <w:top w:w="20" w:type="dxa"/>
              <w:left w:w="20" w:type="dxa"/>
              <w:bottom w:w="100" w:type="dxa"/>
              <w:right w:w="20" w:type="dxa"/>
            </w:tcMar>
            <w:vAlign w:val="bottom"/>
          </w:tcPr>
          <w:p w14:paraId="7FD6631D">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color w:val="000000" w:themeColor="text1"/>
                <w:highlight w:val="none"/>
                <w14:textFill>
                  <w14:solidFill>
                    <w14:schemeClr w14:val="tx1"/>
                  </w14:solidFill>
                </w14:textFill>
              </w:rPr>
            </w:pPr>
            <w:r>
              <w:rPr>
                <w:rFonts w:ascii="Arial Regular" w:hAnsi="Arial Regular" w:eastAsia="SimSun" w:cs="Arial Regular"/>
                <w:color w:val="000000"/>
                <w:highlight w:val="none"/>
                <w:lang w:eastAsia="zh-CN" w:bidi="ar"/>
              </w:rPr>
              <w:t>1/april/2022-31/march/2023</w:t>
            </w:r>
          </w:p>
        </w:tc>
        <w:tc>
          <w:tcPr>
            <w:tcW w:w="3167" w:type="dxa"/>
            <w:gridSpan w:val="2"/>
            <w:tcBorders>
              <w:top w:val="nil"/>
              <w:left w:val="nil"/>
              <w:bottom w:val="single" w:color="auto" w:sz="4" w:space="0"/>
              <w:right w:val="single" w:color="000000" w:themeColor="text1" w:sz="6" w:space="0"/>
            </w:tcBorders>
            <w:shd w:val="clear" w:color="auto" w:fill="auto"/>
            <w:tcMar>
              <w:top w:w="20" w:type="dxa"/>
              <w:left w:w="20" w:type="dxa"/>
              <w:bottom w:w="100" w:type="dxa"/>
              <w:right w:w="20" w:type="dxa"/>
            </w:tcMar>
            <w:vAlign w:val="bottom"/>
          </w:tcPr>
          <w:p w14:paraId="5EA55581">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rFonts w:ascii="Arial Regular" w:hAnsi="Arial Regular" w:eastAsia="SimSun" w:cs="Arial Regular"/>
                <w:color w:val="000000"/>
                <w:highlight w:val="none"/>
                <w:lang w:eastAsia="zh-CN" w:bidi="ar"/>
              </w:rPr>
            </w:pPr>
            <w:r>
              <w:rPr>
                <w:rFonts w:hint="default" w:ascii="Arial Regular" w:hAnsi="Arial Regular" w:eastAsia="SimSun" w:cs="Arial Regular"/>
                <w:color w:val="000000"/>
                <w:highlight w:val="none"/>
                <w:lang w:val="en-US" w:eastAsia="zh-CN" w:bidi="ar"/>
              </w:rPr>
              <w:t>12,748</w:t>
            </w:r>
          </w:p>
        </w:tc>
      </w:tr>
      <w:tr w14:paraId="592DB2C6">
        <w:trPr>
          <w:trHeight w:val="104" w:hRule="atLeast"/>
        </w:trPr>
        <w:tc>
          <w:tcPr>
            <w:tcW w:w="3070" w:type="dxa"/>
            <w:tcBorders>
              <w:top w:val="nil"/>
              <w:left w:val="single" w:color="000000" w:themeColor="text1" w:sz="6" w:space="0"/>
              <w:bottom w:val="single" w:color="000000" w:themeColor="text1" w:sz="6" w:space="0"/>
              <w:right w:val="single" w:color="000000" w:themeColor="text1" w:sz="6" w:space="0"/>
            </w:tcBorders>
            <w:shd w:val="clear" w:color="auto" w:fill="auto"/>
            <w:tcMar>
              <w:top w:w="20" w:type="dxa"/>
              <w:left w:w="20" w:type="dxa"/>
              <w:bottom w:w="100" w:type="dxa"/>
              <w:right w:w="20" w:type="dxa"/>
            </w:tcMar>
          </w:tcPr>
          <w:p w14:paraId="0BAF8ADA">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rFonts w:hint="default"/>
                <w:color w:val="000000" w:themeColor="text1"/>
                <w:highlight w:val="none"/>
                <w:lang w:val="es-ES"/>
                <w14:textFill>
                  <w14:solidFill>
                    <w14:schemeClr w14:val="tx1"/>
                  </w14:solidFill>
                </w14:textFill>
              </w:rPr>
            </w:pPr>
            <w:r>
              <w:rPr>
                <w:color w:val="000000" w:themeColor="text1"/>
                <w:highlight w:val="none"/>
                <w14:textFill>
                  <w14:solidFill>
                    <w14:schemeClr w14:val="tx1"/>
                  </w14:solidFill>
                </w14:textFill>
              </w:rPr>
              <w:t xml:space="preserve">TOTAL EMISSION </w:t>
            </w:r>
            <w:r>
              <w:rPr>
                <w:rFonts w:hint="default"/>
                <w:color w:val="000000" w:themeColor="text1"/>
                <w:highlight w:val="none"/>
                <w:lang w:val="es-ES"/>
                <w14:textFill>
                  <w14:solidFill>
                    <w14:schemeClr w14:val="tx1"/>
                  </w14:solidFill>
                </w14:textFill>
              </w:rPr>
              <w:t>(</w:t>
            </w:r>
            <w:r>
              <w:rPr>
                <w:color w:val="000000" w:themeColor="text1"/>
                <w:highlight w:val="none"/>
                <w14:textFill>
                  <w14:solidFill>
                    <w14:schemeClr w14:val="tx1"/>
                  </w14:solidFill>
                </w14:textFill>
              </w:rPr>
              <w:t>5 YEARS</w:t>
            </w:r>
            <w:r>
              <w:rPr>
                <w:rFonts w:hint="default"/>
                <w:color w:val="000000" w:themeColor="text1"/>
                <w:highlight w:val="none"/>
                <w:lang w:val="es-ES"/>
                <w14:textFill>
                  <w14:solidFill>
                    <w14:schemeClr w14:val="tx1"/>
                  </w14:solidFill>
                </w14:textFill>
              </w:rPr>
              <w:t>)</w:t>
            </w:r>
          </w:p>
        </w:tc>
        <w:tc>
          <w:tcPr>
            <w:tcW w:w="1283" w:type="dxa"/>
            <w:tcBorders>
              <w:top w:val="nil"/>
              <w:left w:val="nil"/>
              <w:bottom w:val="single" w:color="auto" w:sz="4" w:space="0"/>
              <w:right w:val="single" w:color="000000" w:themeColor="text1" w:sz="6" w:space="0"/>
            </w:tcBorders>
            <w:shd w:val="clear" w:color="auto" w:fill="auto"/>
            <w:tcMar>
              <w:top w:w="20" w:type="dxa"/>
              <w:left w:w="20" w:type="dxa"/>
              <w:bottom w:w="100" w:type="dxa"/>
              <w:right w:w="20" w:type="dxa"/>
            </w:tcMar>
          </w:tcPr>
          <w:p w14:paraId="686E91E7">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rFonts w:hint="default" w:ascii="Arial Regular" w:hAnsi="Arial Regular" w:eastAsia="SimSun" w:cs="Arial Regular"/>
                <w:color w:val="000000"/>
                <w:highlight w:val="none"/>
                <w:lang w:val="es-ES" w:eastAsia="zh-CN" w:bidi="ar"/>
              </w:rPr>
            </w:pPr>
            <w:r>
              <w:rPr>
                <w:rFonts w:ascii="Arial Regular" w:hAnsi="Arial Regular" w:eastAsia="SimSun" w:cs="Arial Regular"/>
                <w:color w:val="000000"/>
                <w:highlight w:val="none"/>
                <w:lang w:eastAsia="zh-CN" w:bidi="ar"/>
              </w:rPr>
              <w:t>5</w:t>
            </w:r>
            <w:r>
              <w:rPr>
                <w:rFonts w:hint="default" w:ascii="Arial Regular" w:hAnsi="Arial Regular" w:eastAsia="SimSun" w:cs="Arial Regular"/>
                <w:color w:val="000000"/>
                <w:highlight w:val="none"/>
                <w:lang w:val="es-ES" w:eastAsia="zh-CN" w:bidi="ar"/>
              </w:rPr>
              <w:t>9,574</w:t>
            </w:r>
          </w:p>
        </w:tc>
        <w:tc>
          <w:tcPr>
            <w:tcW w:w="1884" w:type="dxa"/>
            <w:tcBorders>
              <w:top w:val="nil"/>
              <w:left w:val="nil"/>
              <w:bottom w:val="single" w:color="auto" w:sz="4" w:space="0"/>
              <w:right w:val="single" w:color="000000" w:themeColor="text1" w:sz="6" w:space="0"/>
            </w:tcBorders>
            <w:shd w:val="clear" w:color="auto" w:fill="auto"/>
          </w:tcPr>
          <w:p w14:paraId="74E03A69">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color w:val="000000"/>
                <w:highlight w:val="none"/>
              </w:rPr>
            </w:pPr>
            <w:r>
              <w:rPr>
                <w:color w:val="000000"/>
                <w:highlight w:val="none"/>
              </w:rPr>
              <w:t>tCO</w:t>
            </w:r>
            <w:r>
              <w:rPr>
                <w:color w:val="000000"/>
                <w:highlight w:val="none"/>
                <w:vertAlign w:val="subscript"/>
              </w:rPr>
              <w:t>2</w:t>
            </w:r>
            <w:r>
              <w:rPr>
                <w:color w:val="000000"/>
                <w:highlight w:val="none"/>
              </w:rPr>
              <w:t>e</w:t>
            </w:r>
          </w:p>
        </w:tc>
      </w:tr>
    </w:tbl>
    <w:p w14:paraId="56B4EEB3">
      <w:pPr>
        <w:spacing w:after="0"/>
        <w:rPr>
          <w:highlight w:val="none"/>
        </w:rPr>
      </w:pPr>
    </w:p>
    <w:p w14:paraId="167FA957">
      <w:pPr>
        <w:spacing w:after="0"/>
        <w:rPr>
          <w:highlight w:val="none"/>
        </w:rPr>
      </w:pPr>
    </w:p>
    <w:p w14:paraId="478C44E3">
      <w:pPr>
        <w:spacing w:after="0"/>
        <w:rPr>
          <w:highlight w:val="none"/>
        </w:rPr>
      </w:pPr>
    </w:p>
    <w:p w14:paraId="25777251">
      <w:pPr>
        <w:spacing w:after="0"/>
        <w:rPr>
          <w:highlight w:val="none"/>
        </w:rPr>
      </w:pPr>
    </w:p>
    <w:p w14:paraId="29A6FB6F">
      <w:pPr>
        <w:spacing w:after="0"/>
        <w:rPr>
          <w:highlight w:val="none"/>
        </w:rPr>
      </w:pPr>
    </w:p>
    <w:p w14:paraId="54526938">
      <w:pPr>
        <w:spacing w:after="0"/>
        <w:rPr>
          <w:highlight w:val="none"/>
        </w:rPr>
      </w:pPr>
    </w:p>
    <w:p w14:paraId="621A32E7">
      <w:pPr>
        <w:rPr>
          <w:rFonts w:eastAsia="Calibri"/>
          <w:i/>
          <w:iCs/>
          <w:highlight w:val="none"/>
        </w:rPr>
      </w:pPr>
    </w:p>
    <w:p w14:paraId="7EBD8198">
      <w:pPr>
        <w:rPr>
          <w:rFonts w:eastAsia="Calibri"/>
          <w:i/>
          <w:iCs/>
          <w:highlight w:val="none"/>
        </w:rPr>
      </w:pPr>
    </w:p>
    <w:bookmarkEnd w:id="5"/>
    <w:p w14:paraId="58B017F3">
      <w:pPr>
        <w:pStyle w:val="2"/>
        <w:rPr>
          <w:highlight w:val="none"/>
        </w:rPr>
      </w:pPr>
      <w:bookmarkStart w:id="7" w:name="_Toc2070699968"/>
      <w:r>
        <w:rPr>
          <w:highlight w:val="none"/>
        </w:rPr>
        <w:t>Title, reference and version of the baseline and monitoring methodology applied to the project</w:t>
      </w:r>
      <w:bookmarkEnd w:id="7"/>
    </w:p>
    <w:p w14:paraId="3E9ACD9B">
      <w:pPr>
        <w:rPr>
          <w:highlight w:val="none"/>
        </w:rPr>
      </w:pPr>
      <w:r>
        <w:rPr>
          <w:highlight w:val="none"/>
        </w:rPr>
        <w:t>The methodology used to calculate CO</w:t>
      </w:r>
      <w:r>
        <w:rPr>
          <w:highlight w:val="none"/>
          <w:vertAlign w:val="subscript"/>
        </w:rPr>
        <w:t>2</w:t>
      </w:r>
      <w:r>
        <w:rPr>
          <w:highlight w:val="none"/>
        </w:rPr>
        <w:t xml:space="preserve"> emission savings is a UN CDM methodology: AMS.III.F, Avoid methane emissions through composting, Version 12.0 - Sectoral scope(s): 13.</w:t>
      </w:r>
    </w:p>
    <w:p w14:paraId="0A8B6251">
      <w:pPr>
        <w:pStyle w:val="35"/>
        <w:numPr>
          <w:ilvl w:val="0"/>
          <w:numId w:val="5"/>
        </w:numPr>
        <w:spacing w:after="0"/>
        <w:rPr>
          <w:highlight w:val="none"/>
          <w:lang w:val="en-GB" w:eastAsia="zh-CN"/>
        </w:rPr>
      </w:pPr>
      <w:r>
        <w:rPr>
          <w:highlight w:val="none"/>
          <w:lang w:val="en-GB" w:eastAsia="zh-CN"/>
        </w:rPr>
        <w:t>Also, the tools applied for the calculations are:</w:t>
      </w:r>
    </w:p>
    <w:p w14:paraId="5B82FF55">
      <w:pPr>
        <w:pStyle w:val="35"/>
        <w:numPr>
          <w:ilvl w:val="0"/>
          <w:numId w:val="5"/>
        </w:numPr>
        <w:spacing w:after="0"/>
        <w:rPr>
          <w:rFonts w:hint="default"/>
          <w:highlight w:val="none"/>
          <w:lang w:val="es-ES" w:eastAsia="zh-CN"/>
        </w:rPr>
      </w:pPr>
      <w:r>
        <w:rPr>
          <w:rFonts w:hint="default"/>
          <w:highlight w:val="none"/>
          <w:lang w:val="en-GB" w:eastAsia="zh-CN"/>
        </w:rPr>
        <w:t xml:space="preserve">Tool 4. Emissions from solid waste disposal sites. </w:t>
      </w:r>
      <w:r>
        <w:rPr>
          <w:rFonts w:hint="default"/>
          <w:highlight w:val="none"/>
          <w:lang w:val="es-ES" w:eastAsia="zh-CN"/>
        </w:rPr>
        <w:t>Version 08.1.</w:t>
      </w:r>
    </w:p>
    <w:p w14:paraId="5EF1EF30">
      <w:pPr>
        <w:pStyle w:val="35"/>
        <w:numPr>
          <w:ilvl w:val="0"/>
          <w:numId w:val="5"/>
        </w:numPr>
        <w:spacing w:after="0"/>
        <w:rPr>
          <w:rFonts w:hint="default"/>
          <w:highlight w:val="none"/>
          <w:lang w:val="en-GB" w:eastAsia="zh-CN"/>
        </w:rPr>
      </w:pPr>
      <w:r>
        <w:rPr>
          <w:rFonts w:hint="default"/>
          <w:highlight w:val="none"/>
          <w:lang w:val="en-GB" w:eastAsia="zh-CN"/>
        </w:rPr>
        <w:t>Tool 13. “Project and leakage emissions from composting” Version 02.0.</w:t>
      </w:r>
    </w:p>
    <w:p w14:paraId="6E6D1768">
      <w:pPr>
        <w:pStyle w:val="35"/>
        <w:numPr>
          <w:ilvl w:val="0"/>
          <w:numId w:val="5"/>
        </w:numPr>
        <w:spacing w:after="0"/>
        <w:rPr>
          <w:highlight w:val="none"/>
        </w:rPr>
      </w:pPr>
      <w:r>
        <w:rPr>
          <w:rFonts w:hint="default"/>
          <w:highlight w:val="none"/>
          <w:lang w:val="es-ES" w:eastAsia="zh-CN"/>
        </w:rPr>
        <w:t>To</w:t>
      </w:r>
      <w:r>
        <w:rPr>
          <w:highlight w:val="none"/>
          <w:lang w:val="en-GB" w:eastAsia="zh-CN"/>
        </w:rPr>
        <w:t>ol 5. “Baseline, project and/or leakage emissions from electricity consumption and monitoring of electricity generation” Version 03.0.</w:t>
      </w:r>
    </w:p>
    <w:p w14:paraId="4222A5AD">
      <w:pPr>
        <w:pStyle w:val="35"/>
        <w:numPr>
          <w:numId w:val="0"/>
        </w:numPr>
        <w:spacing w:after="0"/>
        <w:ind w:left="360" w:leftChars="0"/>
        <w:rPr>
          <w:highlight w:val="none"/>
        </w:rPr>
      </w:pPr>
    </w:p>
    <w:p w14:paraId="355E41D2">
      <w:pPr>
        <w:pStyle w:val="2"/>
        <w:rPr>
          <w:highlight w:val="none"/>
        </w:rPr>
      </w:pPr>
      <w:bookmarkStart w:id="8" w:name="_Toc134378894"/>
      <w:r>
        <w:rPr>
          <w:highlight w:val="none"/>
        </w:rPr>
        <w:t>Registry or participation under other GHG Programs/Registries</w:t>
      </w:r>
      <w:bookmarkEnd w:id="8"/>
    </w:p>
    <w:p w14:paraId="086A205F">
      <w:pPr>
        <w:rPr>
          <w:rFonts w:hint="default" w:eastAsia="Calibri"/>
          <w:i w:val="0"/>
          <w:iCs w:val="0"/>
          <w:highlight w:val="none"/>
          <w:lang w:val="es-ES"/>
        </w:rPr>
      </w:pPr>
      <w:r>
        <w:rPr>
          <w:rFonts w:eastAsia="Calibri"/>
          <w:i w:val="0"/>
          <w:iCs w:val="0"/>
          <w:highlight w:val="none"/>
        </w:rPr>
        <w:t>Not App</w:t>
      </w:r>
      <w:r>
        <w:rPr>
          <w:rFonts w:hint="default" w:eastAsia="Calibri"/>
          <w:i w:val="0"/>
          <w:iCs w:val="0"/>
          <w:highlight w:val="none"/>
          <w:lang w:val="es-ES"/>
        </w:rPr>
        <w:t>licable because the project is not in other GHG program/registry.</w:t>
      </w:r>
    </w:p>
    <w:p w14:paraId="7D2DFDB8">
      <w:pPr>
        <w:pStyle w:val="2"/>
        <w:rPr>
          <w:highlight w:val="none"/>
        </w:rPr>
      </w:pPr>
      <w:bookmarkStart w:id="9" w:name="_Toc1500758461"/>
      <w:r>
        <w:rPr>
          <w:highlight w:val="none"/>
        </w:rPr>
        <w:t>Contribution to Sustainable Development Goals (SGD)</w:t>
      </w:r>
      <w:bookmarkEnd w:id="9"/>
    </w:p>
    <w:p w14:paraId="7F7EA370">
      <w:pPr>
        <w:pBdr>
          <w:top w:val="none" w:color="auto" w:sz="0" w:space="0"/>
          <w:left w:val="none" w:color="auto" w:sz="0" w:space="0"/>
          <w:bottom w:val="none" w:color="auto" w:sz="0" w:space="0"/>
          <w:right w:val="none" w:color="auto" w:sz="0" w:space="0"/>
          <w:between w:val="none" w:color="auto" w:sz="0" w:space="0"/>
        </w:pBdr>
        <w:rPr>
          <w:rFonts w:hint="default"/>
          <w:color w:val="000000"/>
          <w:highlight w:val="none"/>
          <w:lang w:val="es-ES"/>
        </w:rPr>
      </w:pPr>
      <w:r>
        <w:rPr>
          <w:rFonts w:hint="default"/>
          <w:color w:val="000000"/>
          <w:highlight w:val="none"/>
          <w:lang w:val="es-ES"/>
        </w:rPr>
        <w:t>According to the SDG Tool provides by BioCarbon Registry, which is annexed to this PDD, t</w:t>
      </w:r>
      <w:r>
        <w:rPr>
          <w:color w:val="000000"/>
          <w:highlight w:val="none"/>
          <w:lang w:val="en-US"/>
        </w:rPr>
        <w:t>his project is aligned with four SDG</w:t>
      </w:r>
      <w:r>
        <w:rPr>
          <w:rFonts w:hint="default"/>
          <w:color w:val="000000"/>
          <w:highlight w:val="none"/>
          <w:lang w:val="es-ES"/>
        </w:rPr>
        <w:t>.</w:t>
      </w:r>
    </w:p>
    <w:p w14:paraId="1D5B61CE">
      <w:pPr>
        <w:pBdr>
          <w:top w:val="none" w:color="auto" w:sz="0" w:space="0"/>
          <w:left w:val="none" w:color="auto" w:sz="0" w:space="0"/>
          <w:bottom w:val="none" w:color="auto" w:sz="0" w:space="0"/>
          <w:right w:val="none" w:color="auto" w:sz="0" w:space="0"/>
          <w:between w:val="none" w:color="auto" w:sz="0" w:space="0"/>
        </w:pBdr>
        <w:rPr>
          <w:rFonts w:hint="default"/>
          <w:color w:val="000000"/>
          <w:highlight w:val="none"/>
          <w:lang w:val="es-ES"/>
        </w:rPr>
      </w:pPr>
      <w:r>
        <w:rPr>
          <w:rFonts w:hint="default"/>
          <w:highlight w:val="none"/>
          <w:lang w:val="es-ES"/>
        </w:rPr>
        <w:t>In the SDG tool (from BCR) annexed to this PDD, the verification period is divided by two periods: ex ante (since 1/april/2018 to 31/march/2023) and expost (since 1/april/2023 to 31/march/2028).</w:t>
      </w:r>
    </w:p>
    <w:p w14:paraId="4144B446">
      <w:pPr>
        <w:pStyle w:val="35"/>
        <w:keepNext w:val="0"/>
        <w:keepLines w:val="0"/>
        <w:pageBreakBefore w:val="0"/>
        <w:widowControl/>
        <w:numPr>
          <w:ilvl w:val="0"/>
          <w:numId w:val="7"/>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after="120"/>
        <w:ind w:left="0" w:firstLine="288"/>
        <w:textAlignment w:val="auto"/>
        <w:rPr>
          <w:color w:val="000000"/>
          <w:highlight w:val="none"/>
          <w:lang w:val="en-US"/>
        </w:rPr>
      </w:pPr>
      <w:r>
        <w:rPr>
          <w:color w:val="000000"/>
          <w:highlight w:val="none"/>
          <w:lang w:val="en-US"/>
        </w:rPr>
        <w:t>SDG 9. Industry, Innovation and Infrastructure: Promote inclusive and sustainable industrialization and, by 2030, significantly increase the share of industry in employment and gross domestic product, according to national circumstances, and double its share in least developed countries</w:t>
      </w:r>
      <w:r>
        <w:rPr>
          <w:rFonts w:hint="default"/>
          <w:color w:val="000000"/>
          <w:highlight w:val="none"/>
          <w:lang w:val="es-ES"/>
        </w:rPr>
        <w:t>; by the creation of local and quality employment in an innovative project of a sustainable industries. Specifically, the contribution is in the global target 9.2, with indicator 9.2.2. Manufacturing employment as a proportion of total employment. The project involves the increase of proportion of local people employed (in total number of employees).</w:t>
      </w:r>
    </w:p>
    <w:tbl>
      <w:tblPr>
        <w:tblStyle w:val="24"/>
        <w:tblpPr w:leftFromText="180" w:rightFromText="180" w:vertAnchor="text" w:horzAnchor="page" w:tblpX="1868" w:tblpY="2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4"/>
        <w:gridCol w:w="4455"/>
      </w:tblGrid>
      <w:tr w14:paraId="5A7B857B">
        <w:tc>
          <w:tcPr>
            <w:tcW w:w="4134" w:type="dxa"/>
            <w:vMerge w:val="restart"/>
            <w:vAlign w:val="center"/>
          </w:tcPr>
          <w:p w14:paraId="200B7029">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contextualSpacing/>
              <w:jc w:val="both"/>
              <w:textAlignment w:val="auto"/>
              <w:rPr>
                <w:rFonts w:hint="default"/>
                <w:color w:val="000000"/>
                <w:highlight w:val="none"/>
                <w:vertAlign w:val="baseline"/>
                <w:lang w:val="es-ES"/>
              </w:rPr>
            </w:pPr>
            <w:r>
              <w:rPr>
                <w:rFonts w:hint="default"/>
                <w:color w:val="000000"/>
                <w:highlight w:val="none"/>
                <w:vertAlign w:val="baseline"/>
                <w:lang w:val="es-ES"/>
              </w:rPr>
              <w:t>SDG, global target and project activity (UNIT)</w:t>
            </w:r>
          </w:p>
        </w:tc>
        <w:tc>
          <w:tcPr>
            <w:tcW w:w="4455" w:type="dxa"/>
            <w:vAlign w:val="center"/>
          </w:tcPr>
          <w:p w14:paraId="4BD428DC">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contextualSpacing/>
              <w:jc w:val="center"/>
              <w:textAlignment w:val="auto"/>
              <w:rPr>
                <w:rFonts w:hint="default"/>
                <w:color w:val="000000"/>
                <w:highlight w:val="none"/>
                <w:vertAlign w:val="baseline"/>
                <w:lang w:val="en-US"/>
              </w:rPr>
            </w:pPr>
            <w:r>
              <w:rPr>
                <w:rFonts w:hint="default"/>
                <w:color w:val="000000"/>
                <w:highlight w:val="none"/>
                <w:vertAlign w:val="baseline"/>
                <w:lang w:val="es-ES"/>
              </w:rPr>
              <w:t>VERIFICATION PERIOD</w:t>
            </w:r>
          </w:p>
        </w:tc>
      </w:tr>
      <w:tr w14:paraId="7FF77DFB">
        <w:tc>
          <w:tcPr>
            <w:tcW w:w="4134" w:type="dxa"/>
            <w:vMerge w:val="continue"/>
            <w:vAlign w:val="center"/>
          </w:tcPr>
          <w:p w14:paraId="09BF28F6">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contextualSpacing/>
              <w:jc w:val="center"/>
              <w:textAlignment w:val="auto"/>
              <w:rPr>
                <w:rFonts w:hint="default"/>
                <w:color w:val="000000"/>
                <w:highlight w:val="none"/>
                <w:vertAlign w:val="baseline"/>
                <w:lang w:val="en-US"/>
              </w:rPr>
            </w:pPr>
          </w:p>
        </w:tc>
        <w:tc>
          <w:tcPr>
            <w:tcW w:w="4455" w:type="dxa"/>
            <w:vAlign w:val="center"/>
          </w:tcPr>
          <w:p w14:paraId="77963BBB">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contextualSpacing/>
              <w:jc w:val="center"/>
              <w:textAlignment w:val="auto"/>
              <w:rPr>
                <w:rFonts w:hint="default"/>
                <w:color w:val="000000"/>
                <w:highlight w:val="none"/>
                <w:vertAlign w:val="baseline"/>
                <w:lang w:val="en-US"/>
              </w:rPr>
            </w:pPr>
            <w:r>
              <w:rPr>
                <w:rFonts w:hint="default"/>
                <w:highlight w:val="none"/>
                <w:lang w:val="es-ES"/>
              </w:rPr>
              <w:t>1/april/2018 to 31/march/2023</w:t>
            </w:r>
          </w:p>
        </w:tc>
      </w:tr>
      <w:tr w14:paraId="62788880">
        <w:tc>
          <w:tcPr>
            <w:tcW w:w="4134" w:type="dxa"/>
            <w:vAlign w:val="center"/>
          </w:tcPr>
          <w:p w14:paraId="07DCF97D">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contextualSpacing/>
              <w:jc w:val="center"/>
              <w:textAlignment w:val="auto"/>
              <w:rPr>
                <w:rFonts w:hint="default"/>
                <w:color w:val="000000"/>
                <w:highlight w:val="none"/>
                <w:vertAlign w:val="baseline"/>
                <w:lang w:val="es-ES"/>
              </w:rPr>
            </w:pPr>
            <w:r>
              <w:rPr>
                <w:rFonts w:hint="default"/>
                <w:color w:val="000000"/>
                <w:highlight w:val="none"/>
                <w:vertAlign w:val="baseline"/>
                <w:lang w:val="es-ES"/>
              </w:rPr>
              <w:t>9.2.</w:t>
            </w:r>
          </w:p>
          <w:p w14:paraId="03BBC9A9">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contextualSpacing/>
              <w:jc w:val="center"/>
              <w:textAlignment w:val="auto"/>
              <w:rPr>
                <w:rFonts w:hint="default"/>
                <w:color w:val="000000"/>
                <w:highlight w:val="none"/>
                <w:vertAlign w:val="baseline"/>
                <w:lang w:val="es-ES"/>
              </w:rPr>
            </w:pPr>
            <w:r>
              <w:rPr>
                <w:rFonts w:hint="default"/>
                <w:color w:val="000000"/>
                <w:highlight w:val="none"/>
                <w:vertAlign w:val="baseline"/>
                <w:lang w:val="es-ES"/>
              </w:rPr>
              <w:t>Proportion of local people employed in total number of employees (%)</w:t>
            </w:r>
          </w:p>
        </w:tc>
        <w:tc>
          <w:tcPr>
            <w:tcW w:w="4455" w:type="dxa"/>
            <w:vAlign w:val="center"/>
          </w:tcPr>
          <w:p w14:paraId="03BE0306">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contextualSpacing/>
              <w:jc w:val="center"/>
              <w:textAlignment w:val="auto"/>
              <w:rPr>
                <w:rFonts w:hint="default"/>
                <w:color w:val="000000" w:themeColor="text1"/>
                <w:highlight w:val="none"/>
                <w:vertAlign w:val="baseline"/>
                <w:lang w:val="es-ES"/>
                <w14:textFill>
                  <w14:solidFill>
                    <w14:schemeClr w14:val="tx1"/>
                  </w14:solidFill>
                </w14:textFill>
              </w:rPr>
            </w:pPr>
            <w:r>
              <w:rPr>
                <w:rFonts w:hint="default"/>
                <w:color w:val="000000" w:themeColor="text1"/>
                <w:highlight w:val="none"/>
                <w:vertAlign w:val="baseline"/>
                <w:lang w:val="es-ES"/>
                <w14:textFill>
                  <w14:solidFill>
                    <w14:schemeClr w14:val="tx1"/>
                  </w14:solidFill>
                </w14:textFill>
              </w:rPr>
              <w:t>40%</w:t>
            </w:r>
          </w:p>
        </w:tc>
      </w:tr>
    </w:tbl>
    <w:p w14:paraId="74FD8BD1">
      <w:pPr>
        <w:pStyle w:val="35"/>
        <w:numPr>
          <w:ilvl w:val="0"/>
          <w:numId w:val="0"/>
        </w:numPr>
        <w:pBdr>
          <w:top w:val="none" w:color="auto" w:sz="0" w:space="0"/>
          <w:left w:val="none" w:color="auto" w:sz="0" w:space="0"/>
          <w:bottom w:val="none" w:color="auto" w:sz="0" w:space="0"/>
          <w:right w:val="none" w:color="auto" w:sz="0" w:space="0"/>
          <w:between w:val="none" w:color="auto" w:sz="0" w:space="0"/>
        </w:pBdr>
        <w:rPr>
          <w:color w:val="000000"/>
          <w:highlight w:val="none"/>
          <w:lang w:val="en-US"/>
        </w:rPr>
      </w:pPr>
    </w:p>
    <w:p w14:paraId="12855784">
      <w:pPr>
        <w:pStyle w:val="35"/>
        <w:numPr>
          <w:ilvl w:val="0"/>
          <w:numId w:val="7"/>
        </w:numPr>
        <w:pBdr>
          <w:top w:val="none" w:color="auto" w:sz="0" w:space="0"/>
          <w:left w:val="none" w:color="auto" w:sz="0" w:space="0"/>
          <w:bottom w:val="none" w:color="auto" w:sz="0" w:space="0"/>
          <w:right w:val="none" w:color="auto" w:sz="0" w:space="0"/>
          <w:between w:val="none" w:color="auto" w:sz="0" w:space="0"/>
        </w:pBdr>
        <w:ind w:left="0" w:firstLine="284"/>
        <w:rPr>
          <w:color w:val="000000"/>
          <w:highlight w:val="none"/>
          <w:lang w:val="en-US"/>
        </w:rPr>
      </w:pPr>
      <w:r>
        <w:rPr>
          <w:color w:val="000000"/>
          <w:highlight w:val="none"/>
          <w:lang w:val="en-US"/>
        </w:rPr>
        <w:t>SDG 11. Sustainable Cities and Communities: By 2030, reduce the per capita adverse environmental impact of cities, including by paying special attention to air quality and municipal and other waste management</w:t>
      </w:r>
      <w:r>
        <w:rPr>
          <w:rFonts w:hint="default"/>
          <w:color w:val="000000"/>
          <w:highlight w:val="none"/>
          <w:lang w:val="es-ES"/>
        </w:rPr>
        <w:t>; The project activity consists of composting the organic fraction of the solid waste from agro-industrial plants into biocompost. So, the project activity requires the collection and use of solid waste. Specifically, the contribution is in the global target 11.6, indicator 11.6.1. Proportion of urban solid waste regularly collected and with adequate final discharge out of total urban solid waste generated, by cities. This contribution is quantified by the tons of solid waste treated by the project activity, which is increased every year.</w:t>
      </w:r>
    </w:p>
    <w:tbl>
      <w:tblPr>
        <w:tblStyle w:val="24"/>
        <w:tblpPr w:leftFromText="180" w:rightFromText="180" w:vertAnchor="text" w:horzAnchor="page" w:tblpX="1868" w:tblpY="2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476"/>
      </w:tblGrid>
      <w:tr w14:paraId="64FCEF6F">
        <w:tc>
          <w:tcPr>
            <w:tcW w:w="4153" w:type="dxa"/>
            <w:vMerge w:val="restart"/>
            <w:vAlign w:val="center"/>
          </w:tcPr>
          <w:p w14:paraId="10CE4E04">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both"/>
              <w:textAlignment w:val="auto"/>
              <w:rPr>
                <w:rFonts w:hint="default"/>
                <w:color w:val="000000"/>
                <w:highlight w:val="none"/>
                <w:vertAlign w:val="baseline"/>
                <w:lang w:val="es-ES"/>
              </w:rPr>
            </w:pPr>
            <w:r>
              <w:rPr>
                <w:rFonts w:hint="default"/>
                <w:color w:val="000000"/>
                <w:highlight w:val="none"/>
                <w:vertAlign w:val="baseline"/>
                <w:lang w:val="es-ES"/>
              </w:rPr>
              <w:t>SDG, global target and project activity (UNIT)</w:t>
            </w:r>
          </w:p>
        </w:tc>
        <w:tc>
          <w:tcPr>
            <w:tcW w:w="4476" w:type="dxa"/>
            <w:vAlign w:val="center"/>
          </w:tcPr>
          <w:p w14:paraId="25AE3D01">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n-US"/>
              </w:rPr>
            </w:pPr>
            <w:r>
              <w:rPr>
                <w:rFonts w:hint="default"/>
                <w:color w:val="000000"/>
                <w:highlight w:val="none"/>
                <w:vertAlign w:val="baseline"/>
                <w:lang w:val="es-ES"/>
              </w:rPr>
              <w:t>VERIFICATION PERIOD</w:t>
            </w:r>
          </w:p>
        </w:tc>
      </w:tr>
      <w:tr w14:paraId="4D53FF06">
        <w:trPr>
          <w:trHeight w:val="90" w:hRule="atLeast"/>
        </w:trPr>
        <w:tc>
          <w:tcPr>
            <w:tcW w:w="4153" w:type="dxa"/>
            <w:vMerge w:val="continue"/>
            <w:vAlign w:val="center"/>
          </w:tcPr>
          <w:p w14:paraId="34812B7F">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n-US"/>
              </w:rPr>
            </w:pPr>
          </w:p>
        </w:tc>
        <w:tc>
          <w:tcPr>
            <w:tcW w:w="4476" w:type="dxa"/>
            <w:vAlign w:val="center"/>
          </w:tcPr>
          <w:p w14:paraId="12D7A8D2">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n-US"/>
              </w:rPr>
            </w:pPr>
            <w:r>
              <w:rPr>
                <w:rFonts w:hint="default"/>
                <w:highlight w:val="none"/>
                <w:lang w:val="es-ES"/>
              </w:rPr>
              <w:t>1/april/2018 to 31/march/2023</w:t>
            </w:r>
          </w:p>
        </w:tc>
      </w:tr>
      <w:tr w14:paraId="5E56B490">
        <w:tc>
          <w:tcPr>
            <w:tcW w:w="4153" w:type="dxa"/>
            <w:vAlign w:val="center"/>
          </w:tcPr>
          <w:p w14:paraId="6E3A9B6E">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s-ES"/>
              </w:rPr>
            </w:pPr>
            <w:r>
              <w:rPr>
                <w:rFonts w:hint="default"/>
                <w:color w:val="000000"/>
                <w:highlight w:val="none"/>
                <w:vertAlign w:val="baseline"/>
                <w:lang w:val="es-ES"/>
              </w:rPr>
              <w:t>11.6</w:t>
            </w:r>
          </w:p>
          <w:p w14:paraId="7AD556E1">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s-ES"/>
              </w:rPr>
            </w:pPr>
            <w:r>
              <w:rPr>
                <w:rFonts w:hint="default"/>
                <w:color w:val="000000"/>
                <w:highlight w:val="none"/>
                <w:vertAlign w:val="baseline"/>
                <w:lang w:val="es-ES"/>
              </w:rPr>
              <w:t>Quantity of the organic waste collected by the project activity (tons)</w:t>
            </w:r>
          </w:p>
        </w:tc>
        <w:tc>
          <w:tcPr>
            <w:tcW w:w="4476" w:type="dxa"/>
            <w:vAlign w:val="center"/>
          </w:tcPr>
          <w:p w14:paraId="04BCD9E2">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s-ES"/>
              </w:rPr>
            </w:pPr>
            <w:r>
              <w:rPr>
                <w:rFonts w:hint="default"/>
              </w:rPr>
              <w:t>75,443.99</w:t>
            </w:r>
          </w:p>
        </w:tc>
      </w:tr>
    </w:tbl>
    <w:p w14:paraId="0A4A986D">
      <w:pPr>
        <w:pStyle w:val="35"/>
        <w:numPr>
          <w:ilvl w:val="0"/>
          <w:numId w:val="0"/>
        </w:numPr>
        <w:pBdr>
          <w:top w:val="none" w:color="auto" w:sz="0" w:space="0"/>
          <w:left w:val="none" w:color="auto" w:sz="0" w:space="0"/>
          <w:bottom w:val="none" w:color="auto" w:sz="0" w:space="0"/>
          <w:right w:val="none" w:color="auto" w:sz="0" w:space="0"/>
          <w:between w:val="none" w:color="auto" w:sz="0" w:space="0"/>
        </w:pBdr>
        <w:rPr>
          <w:color w:val="000000"/>
          <w:highlight w:val="none"/>
          <w:lang w:val="en-US"/>
        </w:rPr>
      </w:pPr>
    </w:p>
    <w:p w14:paraId="6FC9C0E3">
      <w:pPr>
        <w:pStyle w:val="35"/>
        <w:numPr>
          <w:ilvl w:val="0"/>
          <w:numId w:val="7"/>
        </w:numPr>
        <w:pBdr>
          <w:top w:val="none" w:color="auto" w:sz="0" w:space="0"/>
          <w:left w:val="none" w:color="auto" w:sz="0" w:space="0"/>
          <w:bottom w:val="none" w:color="auto" w:sz="0" w:space="0"/>
          <w:right w:val="none" w:color="auto" w:sz="0" w:space="0"/>
          <w:between w:val="none" w:color="auto" w:sz="0" w:space="0"/>
        </w:pBdr>
        <w:ind w:left="0" w:firstLine="284"/>
        <w:rPr>
          <w:color w:val="000000"/>
          <w:highlight w:val="none"/>
          <w:lang w:val="en-US"/>
        </w:rPr>
      </w:pPr>
      <w:r>
        <w:rPr>
          <w:color w:val="000000"/>
          <w:highlight w:val="none"/>
          <w:lang w:val="en-US"/>
        </w:rPr>
        <w:t>SDG 12. Responsible consumption and production: By 2030, substantially reduce the generation of waste through prevention, reduction, recycling and reuse</w:t>
      </w:r>
      <w:r>
        <w:rPr>
          <w:rFonts w:hint="default"/>
          <w:color w:val="000000"/>
          <w:highlight w:val="none"/>
          <w:lang w:val="es-ES"/>
        </w:rPr>
        <w:t>; The project activity consists of composting the organic fraction of the solid waste from agro-industrial plants into biocompost. So, the project follows the principle of reusing and recycling. Specifically, the contribution is in the global target 12.5, indicator 12.5.1. National recycling rate, tons of material recycled, because the project increases the use of a municipal waste and transform it in biocompost. So, the unit of measurement is the quantity of materials recycled in the biocomposting process (tons).</w:t>
      </w:r>
    </w:p>
    <w:tbl>
      <w:tblPr>
        <w:tblStyle w:val="24"/>
        <w:tblpPr w:leftFromText="180" w:rightFromText="180" w:vertAnchor="text" w:horzAnchor="page" w:tblpX="1868" w:tblpY="2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4"/>
        <w:gridCol w:w="4578"/>
      </w:tblGrid>
      <w:tr w14:paraId="25BFE287">
        <w:tc>
          <w:tcPr>
            <w:tcW w:w="4134" w:type="dxa"/>
            <w:vMerge w:val="restart"/>
            <w:vAlign w:val="center"/>
          </w:tcPr>
          <w:p w14:paraId="7CE06690">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both"/>
              <w:textAlignment w:val="auto"/>
              <w:rPr>
                <w:rFonts w:hint="default"/>
                <w:color w:val="000000"/>
                <w:highlight w:val="none"/>
                <w:vertAlign w:val="baseline"/>
                <w:lang w:val="es-ES"/>
              </w:rPr>
            </w:pPr>
            <w:r>
              <w:rPr>
                <w:rFonts w:hint="default"/>
                <w:color w:val="000000"/>
                <w:highlight w:val="none"/>
                <w:vertAlign w:val="baseline"/>
                <w:lang w:val="es-ES"/>
              </w:rPr>
              <w:t>SDG, global target and project activity (UNIT)</w:t>
            </w:r>
          </w:p>
        </w:tc>
        <w:tc>
          <w:tcPr>
            <w:tcW w:w="4578" w:type="dxa"/>
            <w:vAlign w:val="center"/>
          </w:tcPr>
          <w:p w14:paraId="1C07F69D">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n-US"/>
              </w:rPr>
            </w:pPr>
            <w:r>
              <w:rPr>
                <w:rFonts w:hint="default"/>
                <w:color w:val="000000"/>
                <w:highlight w:val="none"/>
                <w:vertAlign w:val="baseline"/>
                <w:lang w:val="es-ES"/>
              </w:rPr>
              <w:t>VERIFICATION PERIOD</w:t>
            </w:r>
          </w:p>
        </w:tc>
      </w:tr>
      <w:tr w14:paraId="06086556">
        <w:tc>
          <w:tcPr>
            <w:tcW w:w="4134" w:type="dxa"/>
            <w:vMerge w:val="continue"/>
            <w:vAlign w:val="center"/>
          </w:tcPr>
          <w:p w14:paraId="113EEAE9">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n-US"/>
              </w:rPr>
            </w:pPr>
          </w:p>
        </w:tc>
        <w:tc>
          <w:tcPr>
            <w:tcW w:w="4578" w:type="dxa"/>
            <w:vAlign w:val="center"/>
          </w:tcPr>
          <w:p w14:paraId="73118C21">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n-US"/>
              </w:rPr>
            </w:pPr>
            <w:r>
              <w:rPr>
                <w:rFonts w:hint="default"/>
                <w:highlight w:val="none"/>
                <w:lang w:val="es-ES"/>
              </w:rPr>
              <w:t>1/april/2018 to 31/march/2023</w:t>
            </w:r>
          </w:p>
        </w:tc>
      </w:tr>
      <w:tr w14:paraId="4F355AF0">
        <w:trPr>
          <w:trHeight w:val="90" w:hRule="atLeast"/>
        </w:trPr>
        <w:tc>
          <w:tcPr>
            <w:tcW w:w="4134" w:type="dxa"/>
            <w:vAlign w:val="center"/>
          </w:tcPr>
          <w:p w14:paraId="5577679A">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s-ES"/>
              </w:rPr>
            </w:pPr>
            <w:r>
              <w:rPr>
                <w:rFonts w:hint="default"/>
                <w:color w:val="000000"/>
                <w:highlight w:val="none"/>
                <w:vertAlign w:val="baseline"/>
                <w:lang w:val="es-ES"/>
              </w:rPr>
              <w:t>12.5</w:t>
            </w:r>
          </w:p>
          <w:p w14:paraId="3FFFF371">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s-ES"/>
              </w:rPr>
            </w:pPr>
            <w:r>
              <w:rPr>
                <w:rFonts w:hint="default"/>
                <w:color w:val="000000"/>
                <w:highlight w:val="none"/>
                <w:vertAlign w:val="baseline"/>
                <w:lang w:val="es-ES"/>
              </w:rPr>
              <w:t>Quantity of materials recycled in the biocomposting process (tons)</w:t>
            </w:r>
          </w:p>
        </w:tc>
        <w:tc>
          <w:tcPr>
            <w:tcW w:w="4578" w:type="dxa"/>
            <w:vAlign w:val="center"/>
          </w:tcPr>
          <w:p w14:paraId="24E1A66F">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ind w:left="0" w:leftChars="0" w:firstLine="0" w:firstLineChars="0"/>
              <w:contextualSpacing/>
              <w:jc w:val="center"/>
              <w:textAlignment w:val="auto"/>
              <w:rPr>
                <w:rFonts w:hint="default"/>
                <w:color w:val="000000" w:themeColor="text1"/>
                <w:highlight w:val="none"/>
                <w:vertAlign w:val="baseline"/>
                <w:lang w:val="en-US"/>
                <w14:textFill>
                  <w14:solidFill>
                    <w14:schemeClr w14:val="tx1"/>
                  </w14:solidFill>
                </w14:textFill>
              </w:rPr>
            </w:pPr>
            <w:r>
              <w:rPr>
                <w:rFonts w:hint="default"/>
              </w:rPr>
              <w:t>75,443.99</w:t>
            </w:r>
          </w:p>
        </w:tc>
      </w:tr>
    </w:tbl>
    <w:p w14:paraId="26A8D17A">
      <w:pPr>
        <w:pStyle w:val="35"/>
        <w:numPr>
          <w:ilvl w:val="0"/>
          <w:numId w:val="0"/>
        </w:numPr>
        <w:pBdr>
          <w:top w:val="none" w:color="auto" w:sz="0" w:space="0"/>
          <w:left w:val="none" w:color="auto" w:sz="0" w:space="0"/>
          <w:bottom w:val="none" w:color="auto" w:sz="0" w:space="0"/>
          <w:right w:val="none" w:color="auto" w:sz="0" w:space="0"/>
          <w:between w:val="none" w:color="auto" w:sz="0" w:space="0"/>
        </w:pBdr>
        <w:ind w:left="284" w:leftChars="0"/>
        <w:rPr>
          <w:color w:val="000000"/>
          <w:highlight w:val="none"/>
          <w:lang w:val="en-US"/>
        </w:rPr>
      </w:pPr>
    </w:p>
    <w:p w14:paraId="512BC3B2">
      <w:pPr>
        <w:pStyle w:val="35"/>
        <w:numPr>
          <w:ilvl w:val="0"/>
          <w:numId w:val="7"/>
        </w:numPr>
        <w:pBdr>
          <w:top w:val="none" w:color="auto" w:sz="0" w:space="0"/>
          <w:left w:val="none" w:color="auto" w:sz="0" w:space="0"/>
          <w:bottom w:val="none" w:color="auto" w:sz="0" w:space="0"/>
          <w:right w:val="none" w:color="auto" w:sz="0" w:space="0"/>
          <w:between w:val="none" w:color="auto" w:sz="0" w:space="0"/>
        </w:pBdr>
        <w:ind w:left="0" w:firstLine="284"/>
        <w:rPr>
          <w:color w:val="000000"/>
          <w:highlight w:val="none"/>
          <w:lang w:val="en-US"/>
        </w:rPr>
      </w:pPr>
      <w:r>
        <w:rPr>
          <w:color w:val="000000"/>
          <w:highlight w:val="none"/>
          <w:lang w:val="en-US"/>
        </w:rPr>
        <w:t>SDG 13 - Climate action: Continue along the same path in the fight against climate change</w:t>
      </w:r>
      <w:r>
        <w:rPr>
          <w:rFonts w:hint="default"/>
          <w:color w:val="000000"/>
          <w:highlight w:val="none"/>
          <w:lang w:val="es-ES"/>
        </w:rPr>
        <w:t>; The project involves reducing the emission of methane into the atmosphere from organic matter (from non-hazardous organic waste from biodiesel, oil and cellulose plants, the dairy industry, breweries and agro-industries that produce GHG) that otherwise  they would have been left to decompose anaerobically in a solid waste disposal site (SWDS). Controlled aerobic treatment through biomass composting is introduced in the project activity. Specifically, the project contributes to global target number 13.2. with the emission reduction of the project activity, because the project involves reducing the emissions of methane into the atmosphere from organic matter. So, the activity unit of measurement is the tons of CO</w:t>
      </w:r>
      <w:r>
        <w:rPr>
          <w:rFonts w:hint="default"/>
          <w:color w:val="000000"/>
          <w:highlight w:val="none"/>
          <w:vertAlign w:val="subscript"/>
          <w:lang w:val="es-ES"/>
        </w:rPr>
        <w:t xml:space="preserve">2 e </w:t>
      </w:r>
      <w:r>
        <w:rPr>
          <w:rFonts w:hint="default"/>
          <w:color w:val="000000"/>
          <w:highlight w:val="none"/>
          <w:vertAlign w:val="baseline"/>
          <w:lang w:val="es-ES"/>
        </w:rPr>
        <w:t>reduced by the project activity.</w:t>
      </w:r>
    </w:p>
    <w:tbl>
      <w:tblPr>
        <w:tblStyle w:val="24"/>
        <w:tblpPr w:leftFromText="180" w:rightFromText="180" w:vertAnchor="text" w:horzAnchor="page" w:tblpX="1868" w:tblpY="2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4"/>
        <w:gridCol w:w="4578"/>
      </w:tblGrid>
      <w:tr w14:paraId="2C40166D">
        <w:tc>
          <w:tcPr>
            <w:tcW w:w="4134" w:type="dxa"/>
            <w:vMerge w:val="restart"/>
            <w:vAlign w:val="center"/>
          </w:tcPr>
          <w:p w14:paraId="32F3F844">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both"/>
              <w:textAlignment w:val="auto"/>
              <w:rPr>
                <w:rFonts w:hint="default"/>
                <w:color w:val="000000"/>
                <w:highlight w:val="none"/>
                <w:vertAlign w:val="baseline"/>
                <w:lang w:val="es-ES"/>
              </w:rPr>
            </w:pPr>
            <w:r>
              <w:rPr>
                <w:rFonts w:hint="default"/>
                <w:color w:val="000000"/>
                <w:highlight w:val="none"/>
                <w:vertAlign w:val="baseline"/>
                <w:lang w:val="es-ES"/>
              </w:rPr>
              <w:t>SDG, global target and project activity (UNIT)</w:t>
            </w:r>
          </w:p>
        </w:tc>
        <w:tc>
          <w:tcPr>
            <w:tcW w:w="4578" w:type="dxa"/>
            <w:vAlign w:val="center"/>
          </w:tcPr>
          <w:p w14:paraId="433E1070">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n-US"/>
              </w:rPr>
            </w:pPr>
            <w:r>
              <w:rPr>
                <w:rFonts w:hint="default"/>
                <w:color w:val="000000"/>
                <w:highlight w:val="none"/>
                <w:vertAlign w:val="baseline"/>
                <w:lang w:val="es-ES"/>
              </w:rPr>
              <w:t>VERIFICATION PERIOD</w:t>
            </w:r>
          </w:p>
        </w:tc>
      </w:tr>
      <w:tr w14:paraId="61B4AF60">
        <w:tc>
          <w:tcPr>
            <w:tcW w:w="4134" w:type="dxa"/>
            <w:vMerge w:val="continue"/>
            <w:vAlign w:val="center"/>
          </w:tcPr>
          <w:p w14:paraId="31810352">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n-US"/>
              </w:rPr>
            </w:pPr>
          </w:p>
        </w:tc>
        <w:tc>
          <w:tcPr>
            <w:tcW w:w="4578" w:type="dxa"/>
            <w:vAlign w:val="center"/>
          </w:tcPr>
          <w:p w14:paraId="4188516B">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n-US"/>
              </w:rPr>
            </w:pPr>
            <w:r>
              <w:rPr>
                <w:rFonts w:hint="default"/>
                <w:highlight w:val="none"/>
                <w:lang w:val="es-ES"/>
              </w:rPr>
              <w:t>1/april/2018 to 31/march/2023</w:t>
            </w:r>
          </w:p>
        </w:tc>
      </w:tr>
      <w:tr w14:paraId="0F0A06B9">
        <w:tc>
          <w:tcPr>
            <w:tcW w:w="4134" w:type="dxa"/>
            <w:vAlign w:val="center"/>
          </w:tcPr>
          <w:p w14:paraId="75DDAC87">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s-ES"/>
              </w:rPr>
            </w:pPr>
            <w:r>
              <w:rPr>
                <w:rFonts w:hint="default"/>
                <w:color w:val="000000"/>
                <w:highlight w:val="none"/>
                <w:vertAlign w:val="baseline"/>
                <w:lang w:val="es-ES"/>
              </w:rPr>
              <w:t>13.2</w:t>
            </w:r>
          </w:p>
          <w:p w14:paraId="0BDDC8C8">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s-ES"/>
              </w:rPr>
            </w:pPr>
            <w:r>
              <w:rPr>
                <w:rFonts w:hint="default"/>
                <w:color w:val="000000"/>
                <w:highlight w:val="none"/>
                <w:vertAlign w:val="baseline"/>
                <w:lang w:val="en-US"/>
              </w:rPr>
              <w:t>Emissions Reductions of the Project activity</w:t>
            </w:r>
            <w:r>
              <w:rPr>
                <w:rFonts w:hint="default"/>
                <w:color w:val="000000"/>
                <w:highlight w:val="none"/>
                <w:vertAlign w:val="baseline"/>
                <w:lang w:val="es-ES"/>
              </w:rPr>
              <w:t xml:space="preserve"> (t CO</w:t>
            </w:r>
            <w:r>
              <w:rPr>
                <w:rFonts w:hint="default"/>
                <w:color w:val="000000"/>
                <w:highlight w:val="none"/>
                <w:vertAlign w:val="subscript"/>
                <w:lang w:val="es-ES"/>
              </w:rPr>
              <w:t>2</w:t>
            </w:r>
            <w:r>
              <w:rPr>
                <w:rFonts w:hint="default"/>
                <w:color w:val="000000"/>
                <w:highlight w:val="none"/>
                <w:vertAlign w:val="baseline"/>
                <w:lang w:val="es-ES"/>
              </w:rPr>
              <w:t>e)</w:t>
            </w:r>
          </w:p>
        </w:tc>
        <w:tc>
          <w:tcPr>
            <w:tcW w:w="4578" w:type="dxa"/>
            <w:vAlign w:val="center"/>
          </w:tcPr>
          <w:p w14:paraId="124A01CA">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center"/>
              <w:textAlignment w:val="auto"/>
              <w:rPr>
                <w:rFonts w:hint="default"/>
                <w:color w:val="000000"/>
                <w:highlight w:val="none"/>
                <w:vertAlign w:val="baseline"/>
                <w:lang w:val="es-ES"/>
              </w:rPr>
            </w:pPr>
            <w:r>
              <w:rPr>
                <w:rFonts w:hint="default"/>
                <w:color w:val="000000"/>
                <w:highlight w:val="none"/>
                <w:lang w:val="en-US"/>
              </w:rPr>
              <w:t>59,5</w:t>
            </w:r>
            <w:r>
              <w:rPr>
                <w:rFonts w:hint="default"/>
                <w:color w:val="000000"/>
                <w:highlight w:val="none"/>
                <w:lang w:val="es-ES"/>
              </w:rPr>
              <w:t>74</w:t>
            </w:r>
          </w:p>
        </w:tc>
      </w:tr>
    </w:tbl>
    <w:p w14:paraId="3EE862B1">
      <w:pPr>
        <w:rPr>
          <w:rFonts w:hint="default"/>
          <w:highlight w:val="none"/>
          <w:lang w:val="es-ES"/>
        </w:rPr>
      </w:pPr>
    </w:p>
    <w:p w14:paraId="5411DBB9">
      <w:pPr>
        <w:pStyle w:val="2"/>
        <w:rPr>
          <w:highlight w:val="none"/>
        </w:rPr>
      </w:pPr>
      <w:bookmarkStart w:id="10" w:name="_Toc1052020012"/>
      <w:r>
        <w:rPr>
          <w:rFonts w:hint="default"/>
          <w:highlight w:val="none"/>
          <w:lang w:val="es-ES"/>
        </w:rPr>
        <w:t>Com</w:t>
      </w:r>
      <w:r>
        <w:rPr>
          <w:highlight w:val="none"/>
        </w:rPr>
        <w:t>pliance with Applicable Legislation</w:t>
      </w:r>
      <w:bookmarkEnd w:id="10"/>
    </w:p>
    <w:p w14:paraId="380FB337">
      <w:pPr>
        <w:keepNext w:val="0"/>
        <w:keepLines w:val="0"/>
        <w:pageBreakBefore w:val="0"/>
        <w:widowControl/>
        <w:kinsoku/>
        <w:wordWrap/>
        <w:overflowPunct/>
        <w:topLinePunct w:val="0"/>
        <w:autoSpaceDE/>
        <w:autoSpaceDN/>
        <w:bidi w:val="0"/>
        <w:adjustRightInd/>
        <w:snapToGrid/>
        <w:spacing w:after="0"/>
        <w:textAlignment w:val="auto"/>
        <w:rPr>
          <w:highlight w:val="none"/>
          <w:lang w:val="en-US"/>
        </w:rPr>
      </w:pPr>
      <w:r>
        <w:rPr>
          <w:highlight w:val="none"/>
          <w:lang w:val="en-GB"/>
        </w:rPr>
        <w:t>Worms Argentina S.A. complies with all the regulations required at local, regional and national level, in addition to having updated all the necessary permits, as shown by the following links to the documents.</w:t>
      </w:r>
    </w:p>
    <w:p w14:paraId="762DCEED">
      <w:pPr>
        <w:pStyle w:val="35"/>
        <w:keepNext w:val="0"/>
        <w:keepLines w:val="0"/>
        <w:pageBreakBefore w:val="0"/>
        <w:widowControl/>
        <w:numPr>
          <w:ilvl w:val="0"/>
          <w:numId w:val="8"/>
        </w:numPr>
        <w:kinsoku/>
        <w:wordWrap/>
        <w:overflowPunct/>
        <w:topLinePunct w:val="0"/>
        <w:autoSpaceDE/>
        <w:autoSpaceDN/>
        <w:bidi w:val="0"/>
        <w:adjustRightInd/>
        <w:snapToGrid/>
        <w:spacing w:before="0"/>
        <w:textAlignment w:val="auto"/>
        <w:rPr>
          <w:highlight w:val="none"/>
          <w:lang w:val="es-ES"/>
        </w:rPr>
      </w:pPr>
      <w:r>
        <w:rPr>
          <w:highlight w:val="none"/>
          <w:lang w:val="es-ES"/>
        </w:rPr>
        <w:t>7-Otorgamiento uso conforme de suelo A. Seco 29-06-2017</w:t>
      </w:r>
    </w:p>
    <w:p w14:paraId="4FEB7A6B">
      <w:pPr>
        <w:pStyle w:val="35"/>
        <w:numPr>
          <w:ilvl w:val="0"/>
          <w:numId w:val="8"/>
        </w:numPr>
        <w:rPr>
          <w:highlight w:val="none"/>
          <w:lang w:val="es-ES"/>
        </w:rPr>
      </w:pPr>
      <w:r>
        <w:rPr>
          <w:highlight w:val="none"/>
          <w:lang w:val="es-ES"/>
        </w:rPr>
        <w:t>34-Habilitación Munic. Planta A. Seco - Resol.Nº 024-18 - 16.03.2018</w:t>
      </w:r>
    </w:p>
    <w:p w14:paraId="2CC708FC">
      <w:pPr>
        <w:pStyle w:val="35"/>
        <w:numPr>
          <w:ilvl w:val="0"/>
          <w:numId w:val="8"/>
        </w:numPr>
        <w:rPr>
          <w:highlight w:val="none"/>
          <w:lang w:val="en-GB"/>
        </w:rPr>
      </w:pPr>
      <w:r>
        <w:rPr>
          <w:highlight w:val="none"/>
          <w:lang w:val="en-GB"/>
        </w:rPr>
        <w:t xml:space="preserve">27-Resol. Nº 523 WORMS ARG. S.A. EIA </w:t>
      </w:r>
    </w:p>
    <w:p w14:paraId="5321BF97">
      <w:pPr>
        <w:pStyle w:val="35"/>
        <w:numPr>
          <w:ilvl w:val="0"/>
          <w:numId w:val="8"/>
        </w:numPr>
        <w:rPr>
          <w:highlight w:val="none"/>
          <w:lang w:val="es-ES"/>
        </w:rPr>
      </w:pPr>
      <w:r>
        <w:rPr>
          <w:highlight w:val="none"/>
          <w:lang w:val="es-ES"/>
        </w:rPr>
        <w:t xml:space="preserve">55-Disp. 287-19 Renov. Reg. RT 0029 </w:t>
      </w:r>
    </w:p>
    <w:p w14:paraId="2354B407">
      <w:pPr>
        <w:pStyle w:val="35"/>
        <w:numPr>
          <w:ilvl w:val="0"/>
          <w:numId w:val="8"/>
        </w:numPr>
        <w:rPr>
          <w:highlight w:val="none"/>
          <w:lang w:val="es-ES"/>
        </w:rPr>
      </w:pPr>
      <w:r>
        <w:rPr>
          <w:highlight w:val="none"/>
          <w:lang w:val="es-ES"/>
        </w:rPr>
        <w:t>Permiso vuelco de efluentes 21-06-19 WORMS</w:t>
      </w:r>
    </w:p>
    <w:p w14:paraId="499E7137">
      <w:pPr>
        <w:pStyle w:val="35"/>
        <w:keepNext w:val="0"/>
        <w:keepLines w:val="0"/>
        <w:pageBreakBefore w:val="0"/>
        <w:widowControl/>
        <w:numPr>
          <w:ilvl w:val="0"/>
          <w:numId w:val="8"/>
        </w:numPr>
        <w:kinsoku/>
        <w:wordWrap/>
        <w:overflowPunct/>
        <w:topLinePunct w:val="0"/>
        <w:autoSpaceDE/>
        <w:autoSpaceDN/>
        <w:bidi w:val="0"/>
        <w:adjustRightInd/>
        <w:snapToGrid/>
        <w:spacing w:after="0"/>
        <w:textAlignment w:val="auto"/>
        <w:rPr>
          <w:highlight w:val="none"/>
          <w:lang w:val="es-ES"/>
        </w:rPr>
      </w:pPr>
      <w:r>
        <w:rPr>
          <w:highlight w:val="none"/>
          <w:lang w:val="es-ES"/>
        </w:rPr>
        <w:t>2-WORMS Renovacion directorio 2021</w:t>
      </w:r>
    </w:p>
    <w:p w14:paraId="21300077">
      <w:pPr>
        <w:keepNext w:val="0"/>
        <w:keepLines w:val="0"/>
        <w:pageBreakBefore w:val="0"/>
        <w:widowControl/>
        <w:kinsoku/>
        <w:wordWrap/>
        <w:overflowPunct/>
        <w:topLinePunct w:val="0"/>
        <w:autoSpaceDE/>
        <w:autoSpaceDN/>
        <w:bidi w:val="0"/>
        <w:adjustRightInd/>
        <w:snapToGrid/>
        <w:spacing w:after="0"/>
        <w:textAlignment w:val="auto"/>
        <w:rPr>
          <w:rFonts w:hint="default"/>
          <w:highlight w:val="none"/>
          <w:lang w:val="es-ES"/>
        </w:rPr>
      </w:pPr>
      <w:r>
        <w:rPr>
          <w:highlight w:val="none"/>
          <w:lang w:val="en-US"/>
        </w:rPr>
        <w:t>The project location corresponds with an area where there are not indigenous communities or traditional territories according to the Indigenous Affairs Institute INAI  (</w:t>
      </w:r>
      <w:r>
        <w:rPr>
          <w:rFonts w:hint="default"/>
          <w:highlight w:val="none"/>
          <w:lang w:val="es-ES"/>
        </w:rPr>
        <w:fldChar w:fldCharType="begin"/>
      </w:r>
      <w:r>
        <w:rPr>
          <w:rFonts w:hint="default"/>
          <w:highlight w:val="none"/>
          <w:lang w:val="es-ES"/>
        </w:rPr>
        <w:instrText xml:space="preserve"> HYPERLINK "https://www.argentina.gob.ar/sites/default/files/2020/11/mapaterritorios_oatyp_12-2023.pdf" </w:instrText>
      </w:r>
      <w:r>
        <w:rPr>
          <w:rFonts w:hint="default"/>
          <w:highlight w:val="none"/>
          <w:lang w:val="es-ES"/>
        </w:rPr>
        <w:fldChar w:fldCharType="separate"/>
      </w:r>
      <w:r>
        <w:rPr>
          <w:rStyle w:val="20"/>
          <w:rFonts w:hint="default"/>
          <w:highlight w:val="none"/>
          <w:lang w:val="es-ES"/>
        </w:rPr>
        <w:t>“</w:t>
      </w:r>
      <w:r>
        <w:rPr>
          <w:rStyle w:val="20"/>
          <w:highlight w:val="none"/>
          <w:lang w:val="en-US"/>
        </w:rPr>
        <w:t>Instituto Nacional de Asuntos Indígenas</w:t>
      </w:r>
      <w:r>
        <w:rPr>
          <w:rStyle w:val="20"/>
          <w:rFonts w:hint="default"/>
          <w:highlight w:val="none"/>
          <w:lang w:val="es-ES"/>
        </w:rPr>
        <w:t>”</w:t>
      </w:r>
      <w:r>
        <w:rPr>
          <w:rFonts w:hint="default"/>
          <w:highlight w:val="none"/>
          <w:lang w:val="es-ES"/>
        </w:rPr>
        <w:fldChar w:fldCharType="end"/>
      </w:r>
      <w:r>
        <w:rPr>
          <w:rFonts w:hint="default"/>
          <w:highlight w:val="none"/>
          <w:lang w:val="es-ES"/>
        </w:rPr>
        <w:t>,</w:t>
      </w:r>
      <w:r>
        <w:rPr>
          <w:highlight w:val="none"/>
          <w:lang w:val="en-US"/>
        </w:rPr>
        <w:t xml:space="preserve"> in spanish), the governmental body of Argentina that regulates and controlled issues related with traditional an ingenuous communities with in the country. The following map provides information of the Territories with actual Occupation, Traditional and Public according to the law 26.160 that clearly specifies that there are not indigenous territories near the project location or spatial limit. </w:t>
      </w:r>
    </w:p>
    <w:p w14:paraId="08C8ECC8">
      <w:pPr>
        <w:keepNext w:val="0"/>
        <w:keepLines w:val="0"/>
        <w:pageBreakBefore w:val="0"/>
        <w:widowControl/>
        <w:kinsoku/>
        <w:wordWrap/>
        <w:overflowPunct/>
        <w:topLinePunct w:val="0"/>
        <w:autoSpaceDE/>
        <w:autoSpaceDN/>
        <w:bidi w:val="0"/>
        <w:adjustRightInd/>
        <w:snapToGrid/>
        <w:spacing w:before="0" w:after="0"/>
        <w:jc w:val="center"/>
        <w:textAlignment w:val="auto"/>
        <w:rPr>
          <w:highlight w:val="none"/>
          <w:lang w:val="en-GB"/>
        </w:rPr>
      </w:pPr>
      <w:r>
        <w:rPr>
          <w:highlight w:val="none"/>
          <w:lang w:val="en-GB"/>
        </w:rPr>
        <w:drawing>
          <wp:inline distT="0" distB="0" distL="114300" distR="114300">
            <wp:extent cx="2606675" cy="3669030"/>
            <wp:effectExtent l="0" t="0" r="9525" b="13970"/>
            <wp:docPr id="3" name="Imagen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06675" cy="3669030"/>
                    </a:xfrm>
                    <a:prstGeom prst="rect">
                      <a:avLst/>
                    </a:prstGeom>
                  </pic:spPr>
                </pic:pic>
              </a:graphicData>
            </a:graphic>
          </wp:inline>
        </w:drawing>
      </w:r>
    </w:p>
    <w:p w14:paraId="786310DC">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i/>
          <w:iCs/>
          <w:sz w:val="20"/>
          <w:szCs w:val="20"/>
          <w:highlight w:val="none"/>
          <w:lang w:val="es-ES"/>
        </w:rPr>
      </w:pPr>
      <w:r>
        <w:rPr>
          <w:i/>
          <w:iCs/>
          <w:sz w:val="20"/>
          <w:szCs w:val="20"/>
          <w:highlight w:val="none"/>
          <w:lang w:val="en-US"/>
        </w:rPr>
        <w:t xml:space="preserve">Figure </w:t>
      </w:r>
      <w:r>
        <w:rPr>
          <w:rFonts w:hint="default"/>
          <w:i/>
          <w:iCs/>
          <w:sz w:val="20"/>
          <w:szCs w:val="20"/>
          <w:highlight w:val="none"/>
          <w:lang w:val="es-ES"/>
        </w:rPr>
        <w:t>3</w:t>
      </w:r>
      <w:r>
        <w:rPr>
          <w:i/>
          <w:iCs/>
          <w:sz w:val="20"/>
          <w:szCs w:val="20"/>
          <w:highlight w:val="none"/>
          <w:lang w:val="en-US"/>
        </w:rPr>
        <w:t xml:space="preserve">. </w:t>
      </w:r>
      <w:r>
        <w:rPr>
          <w:rFonts w:hint="default"/>
          <w:i/>
          <w:iCs/>
          <w:sz w:val="20"/>
          <w:szCs w:val="20"/>
          <w:highlight w:val="none"/>
          <w:lang w:val="es-ES"/>
        </w:rPr>
        <w:t>Map of territories with current, traditional and public occupation (Law 26,160) of the</w:t>
      </w:r>
      <w:r>
        <w:rPr>
          <w:rFonts w:hint="default"/>
          <w:i/>
          <w:iCs/>
          <w:sz w:val="20"/>
          <w:szCs w:val="20"/>
          <w:highlight w:val="none"/>
          <w:lang w:val="en-US"/>
        </w:rPr>
        <w:t xml:space="preserve"> Ind</w:t>
      </w:r>
      <w:r>
        <w:rPr>
          <w:rFonts w:hint="default"/>
          <w:i/>
          <w:iCs/>
          <w:sz w:val="20"/>
          <w:szCs w:val="20"/>
          <w:highlight w:val="none"/>
          <w:lang w:val="es-ES"/>
        </w:rPr>
        <w:t>i</w:t>
      </w:r>
      <w:r>
        <w:rPr>
          <w:rFonts w:hint="default"/>
          <w:i/>
          <w:iCs/>
          <w:sz w:val="20"/>
          <w:szCs w:val="20"/>
          <w:highlight w:val="none"/>
          <w:lang w:val="en-US"/>
        </w:rPr>
        <w:t>genous Affairs Institute</w:t>
      </w:r>
      <w:r>
        <w:rPr>
          <w:rFonts w:hint="default"/>
          <w:i/>
          <w:iCs/>
          <w:sz w:val="20"/>
          <w:szCs w:val="20"/>
          <w:highlight w:val="none"/>
          <w:lang w:val="es-ES"/>
        </w:rPr>
        <w:t>.</w:t>
      </w:r>
      <w:r>
        <w:rPr>
          <w:rFonts w:hint="default"/>
          <w:i/>
          <w:iCs/>
          <w:sz w:val="20"/>
          <w:szCs w:val="20"/>
          <w:highlight w:val="none"/>
          <w:lang w:val="en-US"/>
        </w:rPr>
        <w:t xml:space="preserve"> (</w:t>
      </w:r>
      <w:r>
        <w:rPr>
          <w:rFonts w:hint="default"/>
          <w:i/>
          <w:iCs/>
          <w:sz w:val="20"/>
          <w:szCs w:val="20"/>
          <w:highlight w:val="none"/>
          <w:lang w:val="es-ES"/>
        </w:rPr>
        <w:t xml:space="preserve">Source; INAI </w:t>
      </w:r>
      <w:r>
        <w:rPr>
          <w:rFonts w:hint="default"/>
          <w:i/>
          <w:iCs/>
          <w:sz w:val="20"/>
          <w:szCs w:val="20"/>
          <w:highlight w:val="none"/>
          <w:lang w:val="en-US"/>
        </w:rPr>
        <w:fldChar w:fldCharType="begin"/>
      </w:r>
      <w:r>
        <w:rPr>
          <w:rFonts w:hint="default"/>
          <w:i/>
          <w:iCs/>
          <w:sz w:val="20"/>
          <w:szCs w:val="20"/>
          <w:highlight w:val="none"/>
          <w:lang w:val="en-US"/>
        </w:rPr>
        <w:instrText xml:space="preserve"> HYPERLINK "https://www.argentina.gob.ar/sites/default/files/2020/11/mapaterritorios_oatyp_12-2023.pdf" </w:instrText>
      </w:r>
      <w:r>
        <w:rPr>
          <w:rFonts w:hint="default"/>
          <w:i/>
          <w:iCs/>
          <w:sz w:val="20"/>
          <w:szCs w:val="20"/>
          <w:highlight w:val="none"/>
          <w:lang w:val="en-US"/>
        </w:rPr>
        <w:fldChar w:fldCharType="separate"/>
      </w:r>
      <w:r>
        <w:rPr>
          <w:rStyle w:val="20"/>
          <w:rFonts w:hint="default"/>
          <w:i/>
          <w:iCs/>
          <w:sz w:val="20"/>
          <w:szCs w:val="20"/>
          <w:highlight w:val="none"/>
          <w:lang w:val="en-US"/>
        </w:rPr>
        <w:t>Instituto Nacional de Asuntos Indígenas”</w:t>
      </w:r>
      <w:r>
        <w:rPr>
          <w:rFonts w:hint="default"/>
          <w:i/>
          <w:iCs/>
          <w:sz w:val="20"/>
          <w:szCs w:val="20"/>
          <w:highlight w:val="none"/>
          <w:lang w:val="en-US"/>
        </w:rPr>
        <w:fldChar w:fldCharType="end"/>
      </w:r>
      <w:r>
        <w:rPr>
          <w:rFonts w:hint="default"/>
          <w:i/>
          <w:iCs/>
          <w:sz w:val="20"/>
          <w:szCs w:val="20"/>
          <w:highlight w:val="none"/>
          <w:lang w:val="es-ES"/>
        </w:rPr>
        <w:t>.</w:t>
      </w:r>
    </w:p>
    <w:p w14:paraId="59FE900A">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i/>
          <w:iCs/>
          <w:sz w:val="20"/>
          <w:szCs w:val="20"/>
          <w:highlight w:val="none"/>
          <w:lang w:val="en-US"/>
        </w:rPr>
      </w:pPr>
    </w:p>
    <w:p w14:paraId="041DE81F">
      <w:pPr>
        <w:pStyle w:val="2"/>
        <w:rPr>
          <w:highlight w:val="none"/>
        </w:rPr>
      </w:pPr>
      <w:bookmarkStart w:id="11" w:name="_Toc1067475933"/>
      <w:r>
        <w:rPr>
          <w:highlight w:val="none"/>
        </w:rPr>
        <w:t>Climate change adaptation</w:t>
      </w:r>
      <w:bookmarkEnd w:id="11"/>
    </w:p>
    <w:p w14:paraId="16541693">
      <w:pPr>
        <w:spacing w:after="0"/>
        <w:rPr>
          <w:color w:val="000000"/>
          <w:highlight w:val="none"/>
          <w:lang w:val="en-US"/>
        </w:rPr>
      </w:pPr>
      <w:r>
        <w:rPr>
          <w:color w:val="000000"/>
          <w:highlight w:val="none"/>
          <w:lang w:val="en-US"/>
        </w:rPr>
        <w:t>According to BCR Standard and BCR Tool No Net Harm Environmental and Social Safeguards (NNH), Worms Argentina S.A. has many actions to reduce and to demonstrate our contribution to mitigating Greenhouse Gases.</w:t>
      </w:r>
    </w:p>
    <w:p w14:paraId="32F2AFF6">
      <w:pPr>
        <w:spacing w:after="0"/>
        <w:rPr>
          <w:highlight w:val="none"/>
          <w:lang w:val="en-US"/>
        </w:rPr>
      </w:pPr>
      <w:r>
        <w:rPr>
          <w:highlight w:val="none"/>
          <w:lang w:val="en-US"/>
        </w:rPr>
        <w:t xml:space="preserve">In </w:t>
      </w:r>
      <w:r>
        <w:rPr>
          <w:rFonts w:hint="default"/>
          <w:highlight w:val="none"/>
          <w:lang w:val="es-ES"/>
        </w:rPr>
        <w:t xml:space="preserve">BCR </w:t>
      </w:r>
      <w:r>
        <w:rPr>
          <w:highlight w:val="none"/>
          <w:lang w:val="en-US"/>
        </w:rPr>
        <w:t>Standard Version 3.</w:t>
      </w:r>
      <w:r>
        <w:rPr>
          <w:rFonts w:hint="default"/>
          <w:highlight w:val="none"/>
          <w:lang w:val="es-ES"/>
        </w:rPr>
        <w:t>2</w:t>
      </w:r>
      <w:r>
        <w:rPr>
          <w:highlight w:val="none"/>
          <w:lang w:val="en-US"/>
        </w:rPr>
        <w:t>, section 10.8, determines that the project holder should demonstrate that considers one or more of the strategic lines proposed in the National Climate Change Policies and/or focuses aspects outlined in the regulations of the country where the project is implemented.</w:t>
      </w:r>
    </w:p>
    <w:p w14:paraId="1B09998C">
      <w:pPr>
        <w:spacing w:after="0"/>
        <w:rPr>
          <w:highlight w:val="none"/>
          <w:lang w:val="en-US"/>
        </w:rPr>
      </w:pPr>
      <w:r>
        <w:rPr>
          <w:highlight w:val="none"/>
          <w:lang w:val="en-US"/>
        </w:rPr>
        <w:t xml:space="preserve">In addition to complying with all environmental regulations, as indicated in the legislation section, WORMS S.A. addresses aspects framed in Argentina's regulations, its national policies and its strategic plans. </w:t>
      </w:r>
      <w:r>
        <w:rPr>
          <w:color w:val="000000"/>
          <w:highlight w:val="none"/>
          <w:lang w:val="en-US"/>
        </w:rPr>
        <w:t>Worms Argentina S.A</w:t>
      </w:r>
      <w:r>
        <w:rPr>
          <w:highlight w:val="none"/>
          <w:lang w:val="en-US"/>
        </w:rPr>
        <w:t xml:space="preserve">. is aligned with the </w:t>
      </w:r>
      <w:r>
        <w:rPr>
          <w:highlight w:val="none"/>
        </w:rPr>
        <w:fldChar w:fldCharType="begin"/>
      </w:r>
      <w:r>
        <w:rPr>
          <w:highlight w:val="none"/>
        </w:rPr>
        <w:instrText xml:space="preserve"> HYPERLINK "https://www.argentina.gob.ar/sites/default/files/pnaymcc_2022_-_vf_resol.pdf" </w:instrText>
      </w:r>
      <w:r>
        <w:rPr>
          <w:highlight w:val="none"/>
        </w:rPr>
        <w:fldChar w:fldCharType="separate"/>
      </w:r>
      <w:r>
        <w:rPr>
          <w:rStyle w:val="20"/>
          <w:highlight w:val="none"/>
          <w:lang w:val="en-US"/>
        </w:rPr>
        <w:t>National Plan of Adaptation and Mitigation to Climate Change 2030</w:t>
      </w:r>
      <w:r>
        <w:rPr>
          <w:rStyle w:val="20"/>
          <w:highlight w:val="none"/>
          <w:lang w:val="en-US"/>
        </w:rPr>
        <w:fldChar w:fldCharType="end"/>
      </w:r>
      <w:r>
        <w:rPr>
          <w:highlight w:val="none"/>
          <w:lang w:val="en-US"/>
        </w:rPr>
        <w:t xml:space="preserve"> in Argentina (2022). Specifically, the strategic line “Productive Transition” aims to integrate the macroeconomic, social and environmental component, implementing policies and improvements in the competitiveness of national productive development, which promote the reduction of GHG emissions and the increase in the resilience of the national productive system. Some policies for the promotion of energy efficiency and efficiency and rational use of resources in Argentina’s national plan are:</w:t>
      </w:r>
    </w:p>
    <w:p w14:paraId="5A5457DD">
      <w:pPr>
        <w:pStyle w:val="35"/>
        <w:numPr>
          <w:ilvl w:val="0"/>
          <w:numId w:val="9"/>
        </w:numPr>
        <w:spacing w:before="0"/>
        <w:rPr>
          <w:highlight w:val="none"/>
          <w:lang w:val="en-US"/>
        </w:rPr>
      </w:pPr>
      <w:r>
        <w:rPr>
          <w:highlight w:val="none"/>
          <w:lang w:val="en-US"/>
        </w:rPr>
        <w:t>Development of national value chains.</w:t>
      </w:r>
    </w:p>
    <w:p w14:paraId="70BBA87A">
      <w:pPr>
        <w:pStyle w:val="35"/>
        <w:numPr>
          <w:ilvl w:val="0"/>
          <w:numId w:val="9"/>
        </w:numPr>
        <w:spacing w:before="0"/>
        <w:rPr>
          <w:highlight w:val="none"/>
          <w:lang w:val="en-US"/>
        </w:rPr>
      </w:pPr>
      <w:r>
        <w:rPr>
          <w:highlight w:val="none"/>
          <w:lang w:val="en-US"/>
        </w:rPr>
        <w:t>Sustainable design and process innovation.</w:t>
      </w:r>
    </w:p>
    <w:p w14:paraId="6A3B3F70">
      <w:pPr>
        <w:pStyle w:val="35"/>
        <w:numPr>
          <w:ilvl w:val="0"/>
          <w:numId w:val="9"/>
        </w:numPr>
        <w:spacing w:before="0"/>
        <w:rPr>
          <w:highlight w:val="none"/>
          <w:lang w:val="en-US"/>
        </w:rPr>
      </w:pPr>
      <w:r>
        <w:rPr>
          <w:highlight w:val="none"/>
          <w:lang w:val="en-US"/>
        </w:rPr>
        <w:t>Circular economy.</w:t>
      </w:r>
    </w:p>
    <w:p w14:paraId="7DFD93E9">
      <w:pPr>
        <w:pStyle w:val="35"/>
        <w:numPr>
          <w:ilvl w:val="0"/>
          <w:numId w:val="9"/>
        </w:numPr>
        <w:spacing w:before="0" w:after="0"/>
        <w:rPr>
          <w:highlight w:val="none"/>
          <w:lang w:val="en-US"/>
        </w:rPr>
      </w:pPr>
      <w:r>
        <w:rPr>
          <w:highlight w:val="none"/>
          <w:lang w:val="en-US"/>
        </w:rPr>
        <w:t>Productive resilience.</w:t>
      </w:r>
    </w:p>
    <w:p w14:paraId="55BEB253">
      <w:pPr>
        <w:pStyle w:val="35"/>
        <w:spacing w:before="0" w:after="0"/>
        <w:ind w:left="0"/>
        <w:rPr>
          <w:highlight w:val="none"/>
          <w:lang w:val="en-US"/>
        </w:rPr>
      </w:pPr>
    </w:p>
    <w:p w14:paraId="64FF7A06">
      <w:pPr>
        <w:pStyle w:val="35"/>
        <w:spacing w:before="0" w:after="0"/>
        <w:ind w:left="0"/>
        <w:rPr>
          <w:highlight w:val="none"/>
          <w:lang w:val="en-US"/>
        </w:rPr>
      </w:pPr>
      <w:r>
        <w:rPr>
          <w:highlight w:val="none"/>
          <w:lang w:val="en-US"/>
        </w:rPr>
        <w:t xml:space="preserve">Worms </w:t>
      </w:r>
      <w:r>
        <w:rPr>
          <w:rFonts w:hint="default"/>
          <w:highlight w:val="none"/>
          <w:lang w:val="es-ES"/>
        </w:rPr>
        <w:t xml:space="preserve">Argentina </w:t>
      </w:r>
      <w:r>
        <w:rPr>
          <w:highlight w:val="none"/>
          <w:lang w:val="en-US"/>
        </w:rPr>
        <w:t>S.A. is an example of circular economy and innovation because of its innovative process of waste treatment, which not only reduces the problem of the waste generation and degradation, with its consecutive contamination and incrementation of Green</w:t>
      </w:r>
      <w:r>
        <w:rPr>
          <w:rFonts w:hint="default"/>
          <w:highlight w:val="none"/>
          <w:lang w:val="es-ES"/>
        </w:rPr>
        <w:t xml:space="preserve"> </w:t>
      </w:r>
      <w:r>
        <w:rPr>
          <w:highlight w:val="none"/>
          <w:lang w:val="en-US"/>
        </w:rPr>
        <w:t>House Gases, but also recovers waste, transforming it into raw material and a circular resource.</w:t>
      </w:r>
    </w:p>
    <w:p w14:paraId="37F935E9">
      <w:pPr>
        <w:spacing w:after="0"/>
        <w:rPr>
          <w:highlight w:val="none"/>
          <w:lang w:val="en-US"/>
        </w:rPr>
      </w:pPr>
      <w:r>
        <w:rPr>
          <w:color w:val="000000" w:themeColor="text1"/>
          <w:highlight w:val="none"/>
          <w:lang w:val="en-US"/>
          <w14:textFill>
            <w14:solidFill>
              <w14:schemeClr w14:val="tx1"/>
            </w14:solidFill>
          </w14:textFill>
        </w:rPr>
        <w:t>It implements different practices and policies aligned to preserve and care for the resources and the environment where we operate. The raw material used in the production process (non-hazardous organic waste) is 98% industrial waste, providing a solution to the problem of final deposition and solid waste from the country's large generators, which over the years, in the absence of government regulations and lack of responsibility on the part of these industries, have led to the contamination of rivers, lakes and seas; to the expansion of open-air landfills, clandestine landfills, decompositions, harming the population and living beings of other species: fish and plants.</w:t>
      </w:r>
    </w:p>
    <w:p w14:paraId="6E95FD8A">
      <w:pPr>
        <w:spacing w:after="0"/>
        <w:rPr>
          <w:highlight w:val="none"/>
          <w:lang w:val="en-US"/>
        </w:rPr>
      </w:pPr>
      <w:r>
        <w:rPr>
          <w:rFonts w:hint="default"/>
          <w:highlight w:val="none"/>
          <w:lang w:val="es-ES"/>
        </w:rPr>
        <w:t xml:space="preserve">Worms </w:t>
      </w:r>
      <w:r>
        <w:rPr>
          <w:highlight w:val="none"/>
          <w:lang w:val="en-US"/>
        </w:rPr>
        <w:t>Argentina</w:t>
      </w:r>
      <w:r>
        <w:rPr>
          <w:rFonts w:hint="default"/>
          <w:highlight w:val="none"/>
          <w:lang w:val="es-ES"/>
        </w:rPr>
        <w:t xml:space="preserve"> S.A.</w:t>
      </w:r>
      <w:r>
        <w:rPr>
          <w:highlight w:val="none"/>
          <w:lang w:val="en-US"/>
        </w:rPr>
        <w:t xml:space="preserve"> is also committed to the efficient use and reuse of energy: it has a rainwater collection system for the production of liquid humus, it does not use potable water and it does not have a potable water installation use bottled water from returnable containers for human water consumption. In fact, the efficiency of the electric system allows to reduce our impact and our emissions of GHG.</w:t>
      </w:r>
    </w:p>
    <w:p w14:paraId="0B2C856E">
      <w:pPr>
        <w:spacing w:after="0"/>
        <w:rPr>
          <w:highlight w:val="none"/>
          <w:lang w:val="en-US"/>
        </w:rPr>
      </w:pPr>
      <w:r>
        <w:rPr>
          <w:highlight w:val="none"/>
          <w:lang w:val="en-US"/>
        </w:rPr>
        <w:t>As part of the climate change adaptation policies and compromises of the company, Worms Argentina S.A. has increased its production with the implementation of new installations that allows for liquid waste treatment. The process design and implementation does not require additional energy or fuel consumption, which means that the production and waste treatment capabilities of the company has increased exponentially without an increase in GHG emissions as a result of the project activity.</w:t>
      </w:r>
    </w:p>
    <w:p w14:paraId="46078ED3">
      <w:pPr>
        <w:tabs>
          <w:tab w:val="left" w:pos="567"/>
        </w:tabs>
        <w:spacing w:before="180" w:after="0"/>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Worms</w:t>
      </w:r>
      <w:r>
        <w:rPr>
          <w:rFonts w:hint="default"/>
          <w:color w:val="000000" w:themeColor="text1"/>
          <w:highlight w:val="none"/>
          <w:lang w:val="es-ES"/>
          <w14:textFill>
            <w14:solidFill>
              <w14:schemeClr w14:val="tx1"/>
            </w14:solidFill>
          </w14:textFill>
        </w:rPr>
        <w:t xml:space="preserve"> Argentina S.A.</w:t>
      </w:r>
      <w:r>
        <w:rPr>
          <w:color w:val="000000" w:themeColor="text1"/>
          <w:highlight w:val="none"/>
          <w:lang w:val="en-US"/>
          <w14:textFill>
            <w14:solidFill>
              <w14:schemeClr w14:val="tx1"/>
            </w14:solidFill>
          </w14:textFill>
        </w:rPr>
        <w:t xml:space="preserve"> is also endorsed by the BCorp certification. This compromise is </w:t>
      </w:r>
      <w:r>
        <w:rPr>
          <w:color w:val="000000" w:themeColor="text1"/>
          <w:highlight w:val="none"/>
          <w:lang w:val="es-ES"/>
          <w14:textFill>
            <w14:solidFill>
              <w14:schemeClr w14:val="tx1"/>
            </w14:solidFill>
          </w14:textFill>
        </w:rPr>
        <w:t>compiled</w:t>
      </w:r>
      <w:r>
        <w:rPr>
          <w:color w:val="000000" w:themeColor="text1"/>
          <w:highlight w:val="none"/>
          <w:lang w:val="en-US"/>
          <w14:textFill>
            <w14:solidFill>
              <w14:schemeClr w14:val="tx1"/>
            </w14:solidFill>
          </w14:textFill>
        </w:rPr>
        <w:t xml:space="preserve"> in the Environmental Manual, the Resource Conservation Manual and the Environmental Management System, which are included in the certification of B Corp Company.</w:t>
      </w:r>
    </w:p>
    <w:p w14:paraId="2AFF0188">
      <w:pPr>
        <w:tabs>
          <w:tab w:val="left" w:pos="567"/>
        </w:tabs>
        <w:spacing w:before="180" w:after="0"/>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The Environmental Manual establishes the project commitment with the respect and responsible uses of the sources in th</w:t>
      </w:r>
      <w:r>
        <w:rPr>
          <w:rFonts w:hint="default"/>
          <w:color w:val="000000" w:themeColor="text1"/>
          <w:highlight w:val="none"/>
          <w:lang w:val="es-ES"/>
          <w14:textFill>
            <w14:solidFill>
              <w14:schemeClr w14:val="tx1"/>
            </w14:solidFill>
          </w14:textFill>
        </w:rPr>
        <w:t>e</w:t>
      </w:r>
      <w:r>
        <w:rPr>
          <w:color w:val="000000" w:themeColor="text1"/>
          <w:highlight w:val="none"/>
          <w:lang w:val="en-US"/>
          <w14:textFill>
            <w14:solidFill>
              <w14:schemeClr w14:val="tx1"/>
            </w14:solidFill>
          </w14:textFill>
        </w:rPr>
        <w:t xml:space="preserve"> company: environment (ecosystems, water, soil and air), offices (waste separation and recycling, energy efficiency and water care).</w:t>
      </w:r>
    </w:p>
    <w:p w14:paraId="13EA7FD2">
      <w:pPr>
        <w:tabs>
          <w:tab w:val="left" w:pos="567"/>
        </w:tabs>
        <w:spacing w:before="180" w:after="0"/>
        <w:rPr>
          <w:color w:val="000000" w:themeColor="text1"/>
          <w:highlight w:val="none"/>
          <w:lang w:val="en-US"/>
          <w14:textFill>
            <w14:solidFill>
              <w14:schemeClr w14:val="tx1"/>
            </w14:solidFill>
          </w14:textFill>
        </w:rPr>
      </w:pPr>
      <w:r>
        <w:rPr>
          <w:color w:val="000000" w:themeColor="text1"/>
          <w:highlight w:val="none"/>
          <w:lang w:val="en-US"/>
          <w14:textFill>
            <w14:solidFill>
              <w14:schemeClr w14:val="tx1"/>
            </w14:solidFill>
          </w14:textFill>
        </w:rPr>
        <w:t xml:space="preserve">The objective of the Environmental Management System is the control of selected indicators in order to monitor and determine the degree of impact produced on the environment from the activities of all the business units operating in </w:t>
      </w:r>
      <w:r>
        <w:rPr>
          <w:color w:val="000000"/>
          <w:highlight w:val="none"/>
          <w:lang w:val="en-US"/>
        </w:rPr>
        <w:t xml:space="preserve">Worms </w:t>
      </w:r>
      <w:r>
        <w:rPr>
          <w:rFonts w:hint="default"/>
          <w:color w:val="000000"/>
          <w:highlight w:val="none"/>
          <w:lang w:val="es-ES"/>
        </w:rPr>
        <w:t xml:space="preserve">Argentina </w:t>
      </w:r>
      <w:r>
        <w:rPr>
          <w:color w:val="000000"/>
          <w:highlight w:val="none"/>
          <w:lang w:val="en-US"/>
        </w:rPr>
        <w:t>S.A</w:t>
      </w:r>
      <w:r>
        <w:rPr>
          <w:color w:val="000000" w:themeColor="text1"/>
          <w:highlight w:val="none"/>
          <w:lang w:val="en-US"/>
          <w14:textFill>
            <w14:solidFill>
              <w14:schemeClr w14:val="tx1"/>
            </w14:solidFill>
          </w14:textFill>
        </w:rPr>
        <w:t>.</w:t>
      </w:r>
    </w:p>
    <w:p w14:paraId="7DD6ECE4">
      <w:pPr>
        <w:tabs>
          <w:tab w:val="left" w:pos="567"/>
        </w:tabs>
        <w:spacing w:before="180" w:after="0"/>
        <w:rPr>
          <w:color w:val="000000" w:themeColor="text1"/>
          <w:highlight w:val="none"/>
          <w:lang w:val="en-US"/>
          <w14:textFill>
            <w14:solidFill>
              <w14:schemeClr w14:val="tx1"/>
            </w14:solidFill>
          </w14:textFill>
        </w:rPr>
      </w:pPr>
    </w:p>
    <w:p w14:paraId="7CC27D44">
      <w:pPr>
        <w:tabs>
          <w:tab w:val="left" w:pos="567"/>
        </w:tabs>
        <w:spacing w:before="180" w:after="0"/>
        <w:rPr>
          <w:rFonts w:hint="default"/>
          <w:color w:val="000000" w:themeColor="text1"/>
          <w:highlight w:val="none"/>
          <w:lang w:val="en-US"/>
          <w14:textFill>
            <w14:solidFill>
              <w14:schemeClr w14:val="tx1"/>
            </w14:solidFill>
          </w14:textFill>
        </w:rPr>
      </w:pPr>
      <w:r>
        <w:rPr>
          <w:rFonts w:hint="default"/>
          <w:color w:val="000000" w:themeColor="text1"/>
          <w:highlight w:val="none"/>
          <w:lang w:val="en-US"/>
          <w14:textFill>
            <w14:solidFill>
              <w14:schemeClr w14:val="tx1"/>
            </w14:solidFill>
          </w14:textFill>
        </w:rPr>
        <w:t>It is also worth noticing that the project activity does not compromise the biodiversity present in the area, instead, some of the measures implemented foster both biodiversity and ecosystem services. The main example is the use of plant trees as a barrier (for both visual and odorous impact) surrounding the perimeter of the installations. This forest barrier also serves as a shelter for local fauna (especially birds).</w:t>
      </w:r>
    </w:p>
    <w:p w14:paraId="2F17FEDB">
      <w:pPr>
        <w:tabs>
          <w:tab w:val="left" w:pos="567"/>
        </w:tabs>
        <w:spacing w:before="180" w:after="0"/>
        <w:rPr>
          <w:rFonts w:hint="default"/>
          <w:color w:val="000000" w:themeColor="text1"/>
          <w:highlight w:val="none"/>
          <w:lang w:val="en-US"/>
          <w14:textFill>
            <w14:solidFill>
              <w14:schemeClr w14:val="tx1"/>
            </w14:solidFill>
          </w14:textFill>
        </w:rPr>
      </w:pPr>
    </w:p>
    <w:p w14:paraId="0225DCDA">
      <w:pPr>
        <w:pStyle w:val="2"/>
        <w:rPr>
          <w:highlight w:val="none"/>
        </w:rPr>
      </w:pPr>
      <w:bookmarkStart w:id="12" w:name="_Toc989618893"/>
      <w:r>
        <w:rPr>
          <w:highlight w:val="none"/>
        </w:rPr>
        <w:t>Carbon ownership and</w:t>
      </w:r>
      <w:r>
        <w:rPr>
          <w:highlight w:val="none"/>
        </w:rPr>
        <w:t xml:space="preserve"> rights</w:t>
      </w:r>
      <w:bookmarkEnd w:id="12"/>
    </w:p>
    <w:p w14:paraId="0695067F">
      <w:pPr>
        <w:rPr>
          <w:rFonts w:hint="default"/>
          <w:highlight w:val="none"/>
          <w:lang w:val="en-US"/>
        </w:rPr>
      </w:pPr>
      <w:r>
        <w:rPr>
          <w:rFonts w:eastAsia="Calibri"/>
          <w:i w:val="0"/>
          <w:iCs w:val="0"/>
          <w:highlight w:val="none"/>
        </w:rPr>
        <w:t xml:space="preserve">The owner of the project is </w:t>
      </w:r>
      <w:r>
        <w:rPr>
          <w:rFonts w:hint="default" w:eastAsia="Calibri"/>
          <w:i w:val="0"/>
          <w:iCs w:val="0"/>
          <w:highlight w:val="none"/>
          <w:lang w:val="es-ES"/>
        </w:rPr>
        <w:t xml:space="preserve">Worms Argentina S.A. </w:t>
      </w:r>
      <w:r>
        <w:rPr>
          <w:rFonts w:hint="default"/>
          <w:highlight w:val="none"/>
          <w:lang w:val="en-US"/>
        </w:rPr>
        <w:t xml:space="preserve">All the carbons rights will remain within the company </w:t>
      </w:r>
      <w:r>
        <w:rPr>
          <w:rFonts w:hint="default"/>
          <w:highlight w:val="none"/>
          <w:lang w:val="es-ES"/>
        </w:rPr>
        <w:t xml:space="preserve">Worms Argentina S.A. </w:t>
      </w:r>
      <w:r>
        <w:rPr>
          <w:rFonts w:hint="default"/>
          <w:highlight w:val="none"/>
          <w:lang w:val="en-US"/>
        </w:rPr>
        <w:t>The project location corresponds to an area where there are not indigenous communities or traditional territories according to the Indigenous Affairs Institute INAI, the governmental body of Argentina that regulates and controlled issues related to traditional and ingenuous communities within the country</w:t>
      </w:r>
      <w:r>
        <w:rPr>
          <w:rFonts w:hint="default"/>
          <w:highlight w:val="none"/>
          <w:lang w:val="es-ES"/>
        </w:rPr>
        <w:t xml:space="preserve">, </w:t>
      </w:r>
      <w:r>
        <w:rPr>
          <w:rFonts w:hint="default"/>
          <w:highlight w:val="none"/>
          <w:lang w:val="en-US"/>
        </w:rPr>
        <w:t xml:space="preserve">as can be seen in figure </w:t>
      </w:r>
      <w:r>
        <w:rPr>
          <w:rFonts w:hint="default"/>
          <w:highlight w:val="none"/>
          <w:lang w:val="es-ES"/>
        </w:rPr>
        <w:t>9</w:t>
      </w:r>
      <w:r>
        <w:rPr>
          <w:rFonts w:hint="default"/>
          <w:highlight w:val="none"/>
          <w:lang w:val="en-US"/>
        </w:rPr>
        <w:t xml:space="preserve"> above.</w:t>
      </w:r>
      <w:r>
        <w:rPr>
          <w:rFonts w:hint="default"/>
          <w:highlight w:val="none"/>
          <w:lang w:val="es-ES"/>
        </w:rPr>
        <w:t xml:space="preserve"> Also, Worms S.A. </w:t>
      </w:r>
      <w:r>
        <w:rPr>
          <w:rFonts w:hint="default"/>
          <w:highlight w:val="none"/>
          <w:lang w:val="en-US"/>
        </w:rPr>
        <w:t>is the owner of the land and the main stakeholder and responsible for production, assuming all the costs, risks and will be the one in control of the carbon rights that will remain in its entirety within the company.</w:t>
      </w:r>
    </w:p>
    <w:p w14:paraId="42D2293A">
      <w:pPr>
        <w:pStyle w:val="2"/>
        <w:rPr>
          <w:highlight w:val="none"/>
        </w:rPr>
      </w:pPr>
      <w:bookmarkStart w:id="13" w:name="_Toc263888636"/>
      <w:bookmarkStart w:id="14" w:name="_Toc133669912"/>
      <w:r>
        <w:rPr>
          <w:highlight w:val="none"/>
        </w:rPr>
        <w:t>Environmental Aspects</w:t>
      </w:r>
      <w:bookmarkEnd w:id="13"/>
      <w:bookmarkEnd w:id="14"/>
    </w:p>
    <w:p w14:paraId="28803094">
      <w:pPr>
        <w:rPr>
          <w:color w:val="000000"/>
          <w:highlight w:val="none"/>
        </w:rPr>
      </w:pPr>
      <w:bookmarkStart w:id="15" w:name="_Toc133669913"/>
      <w:r>
        <w:rPr>
          <w:color w:val="000000" w:themeColor="text1"/>
          <w:highlight w:val="none"/>
          <w14:textFill>
            <w14:solidFill>
              <w14:schemeClr w14:val="tx1"/>
            </w14:solidFill>
          </w14:textFill>
        </w:rPr>
        <w:t>Worms Argentina S.A. executes a series of control programs in order to comply with regulations and maintain the best practices available in its management and quality system. The main programs are described below and reports condensing soil, water and air monitoring are attached.</w:t>
      </w:r>
    </w:p>
    <w:p w14:paraId="64F860CA">
      <w:pPr>
        <w:rPr>
          <w:b/>
          <w:bCs/>
          <w:color w:val="000000"/>
          <w:highlight w:val="none"/>
          <w:u w:val="single"/>
        </w:rPr>
      </w:pPr>
      <w:r>
        <w:rPr>
          <w:b/>
          <w:bCs/>
          <w:color w:val="000000"/>
          <w:highlight w:val="none"/>
          <w:u w:val="single"/>
        </w:rPr>
        <w:t>SOIL RESOURCE PROTECTION PROGRAM</w:t>
      </w:r>
    </w:p>
    <w:p w14:paraId="27A5FF73">
      <w:pPr>
        <w:ind w:firstLine="708"/>
        <w:rPr>
          <w:color w:val="000000"/>
          <w:highlight w:val="none"/>
          <w:u w:val="single"/>
        </w:rPr>
      </w:pPr>
      <w:r>
        <w:rPr>
          <w:color w:val="000000"/>
          <w:highlight w:val="none"/>
          <w:u w:val="single"/>
        </w:rPr>
        <w:t>Hazardous Waste Management Subprogram:</w:t>
      </w:r>
    </w:p>
    <w:p w14:paraId="26459EFE">
      <w:pPr>
        <w:rPr>
          <w:color w:val="000000"/>
          <w:highlight w:val="none"/>
        </w:rPr>
      </w:pPr>
      <w:r>
        <w:rPr>
          <w:color w:val="000000"/>
          <w:highlight w:val="none"/>
        </w:rPr>
        <w:t>This Subprogram is based on the segregation of hazardous waste streams at their generation points. The operating personnel will be trained and made aware of the areas where the generation of hazardous waste is foreseeable.</w:t>
      </w:r>
    </w:p>
    <w:p w14:paraId="57F1434C">
      <w:pPr>
        <w:rPr>
          <w:color w:val="000000"/>
          <w:highlight w:val="none"/>
        </w:rPr>
      </w:pPr>
      <w:r>
        <w:rPr>
          <w:color w:val="000000"/>
          <w:highlight w:val="none"/>
        </w:rPr>
        <w:t>In the eventual case of receiving improper or rejects with dangerous characteristics, they will be stored in compliance with current regulations, and subsequent referral to an authorized operator according to the current in question.</w:t>
      </w:r>
    </w:p>
    <w:p w14:paraId="5DAFB052">
      <w:pPr>
        <w:ind w:firstLine="708"/>
        <w:rPr>
          <w:color w:val="000000"/>
          <w:highlight w:val="none"/>
          <w:u w:val="single"/>
        </w:rPr>
      </w:pPr>
      <w:r>
        <w:rPr>
          <w:color w:val="000000"/>
          <w:highlight w:val="none"/>
          <w:u w:val="single"/>
        </w:rPr>
        <w:t>Drainage and Flooding Control Subprogram:</w:t>
      </w:r>
    </w:p>
    <w:p w14:paraId="380C2157">
      <w:pPr>
        <w:rPr>
          <w:color w:val="000000"/>
          <w:highlight w:val="none"/>
        </w:rPr>
      </w:pPr>
      <w:r>
        <w:rPr>
          <w:color w:val="000000"/>
          <w:highlight w:val="none"/>
        </w:rPr>
        <w:t>The construction works of the internal circulation roads and transport parking areas were carried out respecting the natural drainage conditions of the land, avoiding the generation of flooding inside the property.</w:t>
      </w:r>
    </w:p>
    <w:p w14:paraId="4467E17E">
      <w:pPr>
        <w:rPr>
          <w:color w:val="000000"/>
          <w:highlight w:val="none"/>
        </w:rPr>
      </w:pPr>
      <w:r>
        <w:rPr>
          <w:color w:val="000000"/>
          <w:highlight w:val="none"/>
        </w:rPr>
        <w:t>Likewise, the maintenance of the internal protection channels and the external pluvial drainage channels is carried out, controlling the clogging and vegetation in them.</w:t>
      </w:r>
    </w:p>
    <w:p w14:paraId="60428546">
      <w:pPr>
        <w:spacing w:after="0"/>
        <w:rPr>
          <w:color w:val="000000"/>
          <w:highlight w:val="none"/>
        </w:rPr>
      </w:pPr>
    </w:p>
    <w:p w14:paraId="1759A300">
      <w:pPr>
        <w:spacing w:after="0"/>
        <w:rPr>
          <w:color w:val="000000"/>
          <w:highlight w:val="none"/>
        </w:rPr>
      </w:pPr>
    </w:p>
    <w:p w14:paraId="72FFBAD9">
      <w:pPr>
        <w:spacing w:before="0" w:after="0"/>
        <w:rPr>
          <w:b/>
          <w:bCs/>
          <w:color w:val="000000"/>
          <w:highlight w:val="none"/>
          <w:u w:val="single"/>
        </w:rPr>
      </w:pPr>
      <w:r>
        <w:rPr>
          <w:b/>
          <w:bCs/>
          <w:color w:val="000000"/>
          <w:highlight w:val="none"/>
          <w:u w:val="single"/>
        </w:rPr>
        <w:t>WATER RESOURCE PROTECTION PROGRAM</w:t>
      </w:r>
    </w:p>
    <w:p w14:paraId="57B010AA">
      <w:pPr>
        <w:spacing w:after="0"/>
        <w:rPr>
          <w:color w:val="000000"/>
          <w:highlight w:val="none"/>
          <w:u w:val="single"/>
        </w:rPr>
      </w:pPr>
      <w:r>
        <w:rPr>
          <w:color w:val="000000"/>
          <w:highlight w:val="none"/>
          <w:u w:val="single"/>
        </w:rPr>
        <w:t>Groundwater monitoring subprogram</w:t>
      </w:r>
    </w:p>
    <w:p w14:paraId="187C3116">
      <w:pPr>
        <w:spacing w:after="0"/>
        <w:rPr>
          <w:color w:val="000000"/>
          <w:highlight w:val="none"/>
        </w:rPr>
      </w:pPr>
      <w:r>
        <w:rPr>
          <w:color w:val="000000"/>
          <w:highlight w:val="none"/>
        </w:rPr>
        <w:t>From the construction of the extraction well, a sampling of the resource extracted from the aquifer will be carried out in order to determine the base conditions and their variation over time. The objective of the monitoring will be to ensure the quality of the water extracted and at the same time determine that the extraction carried out does not affect the hydrogeological profile of the resource.</w:t>
      </w:r>
    </w:p>
    <w:p w14:paraId="6F73DEF9">
      <w:pPr>
        <w:numPr>
          <w:ilvl w:val="0"/>
          <w:numId w:val="10"/>
        </w:numPr>
        <w:pBdr>
          <w:top w:val="none" w:color="auto" w:sz="0" w:space="0"/>
          <w:left w:val="none" w:color="auto" w:sz="0" w:space="0"/>
          <w:bottom w:val="none" w:color="auto" w:sz="0" w:space="0"/>
          <w:right w:val="none" w:color="auto" w:sz="0" w:space="0"/>
          <w:between w:val="none" w:color="auto" w:sz="0" w:space="0"/>
        </w:pBdr>
        <w:spacing w:before="0" w:after="0"/>
        <w:rPr>
          <w:color w:val="000000"/>
          <w:highlight w:val="none"/>
        </w:rPr>
      </w:pPr>
      <w:r>
        <w:rPr>
          <w:color w:val="000000"/>
          <w:highlight w:val="none"/>
        </w:rPr>
        <w:t>Number of samples: 1.</w:t>
      </w:r>
    </w:p>
    <w:p w14:paraId="4B3DE952">
      <w:pPr>
        <w:numPr>
          <w:ilvl w:val="0"/>
          <w:numId w:val="10"/>
        </w:numPr>
        <w:pBdr>
          <w:top w:val="none" w:color="auto" w:sz="0" w:space="0"/>
          <w:left w:val="none" w:color="auto" w:sz="0" w:space="0"/>
          <w:bottom w:val="none" w:color="auto" w:sz="0" w:space="0"/>
          <w:right w:val="none" w:color="auto" w:sz="0" w:space="0"/>
          <w:between w:val="none" w:color="auto" w:sz="0" w:space="0"/>
        </w:pBdr>
        <w:spacing w:before="0" w:after="0"/>
        <w:rPr>
          <w:color w:val="000000"/>
          <w:highlight w:val="none"/>
        </w:rPr>
      </w:pPr>
      <w:r>
        <w:rPr>
          <w:color w:val="000000"/>
          <w:highlight w:val="none"/>
        </w:rPr>
        <w:t>Sampling Point: underground water extraction well.</w:t>
      </w:r>
    </w:p>
    <w:p w14:paraId="212CDA2A">
      <w:pPr>
        <w:numPr>
          <w:ilvl w:val="0"/>
          <w:numId w:val="10"/>
        </w:numPr>
        <w:pBdr>
          <w:top w:val="none" w:color="auto" w:sz="0" w:space="0"/>
          <w:left w:val="none" w:color="auto" w:sz="0" w:space="0"/>
          <w:bottom w:val="none" w:color="auto" w:sz="0" w:space="0"/>
          <w:right w:val="none" w:color="auto" w:sz="0" w:space="0"/>
          <w:between w:val="none" w:color="auto" w:sz="0" w:space="0"/>
        </w:pBdr>
        <w:spacing w:before="0" w:after="0" w:line="259" w:lineRule="auto"/>
        <w:rPr>
          <w:color w:val="000000"/>
          <w:highlight w:val="none"/>
        </w:rPr>
      </w:pPr>
      <w:r>
        <w:rPr>
          <w:color w:val="000000"/>
          <w:highlight w:val="none"/>
        </w:rPr>
        <w:t>Maximum admissible limits (LMA): s/Annex A of Law 11,220.</w:t>
      </w:r>
    </w:p>
    <w:tbl>
      <w:tblPr>
        <w:tblStyle w:val="12"/>
        <w:tblW w:w="8505"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395"/>
        <w:gridCol w:w="2126"/>
        <w:gridCol w:w="1984"/>
      </w:tblGrid>
      <w:tr w14:paraId="4641BD7C">
        <w:trPr>
          <w:trHeight w:val="233" w:hRule="atLeast"/>
        </w:trPr>
        <w:tc>
          <w:tcPr>
            <w:tcW w:w="4395" w:type="dxa"/>
            <w:shd w:val="clear" w:color="auto" w:fill="auto"/>
            <w:tcMar>
              <w:top w:w="100" w:type="dxa"/>
              <w:left w:w="100" w:type="dxa"/>
              <w:bottom w:w="100" w:type="dxa"/>
              <w:right w:w="100" w:type="dxa"/>
            </w:tcMar>
          </w:tcPr>
          <w:p w14:paraId="50BA3BE6">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u w:val="single"/>
              </w:rPr>
            </w:pPr>
            <w:r>
              <w:rPr>
                <w:highlight w:val="none"/>
                <w:u w:val="single"/>
              </w:rPr>
              <w:t>Parameter</w:t>
            </w:r>
          </w:p>
        </w:tc>
        <w:tc>
          <w:tcPr>
            <w:tcW w:w="2126" w:type="dxa"/>
            <w:shd w:val="clear" w:color="auto" w:fill="auto"/>
            <w:tcMar>
              <w:top w:w="100" w:type="dxa"/>
              <w:left w:w="100" w:type="dxa"/>
              <w:bottom w:w="100" w:type="dxa"/>
              <w:right w:w="100" w:type="dxa"/>
            </w:tcMar>
          </w:tcPr>
          <w:p w14:paraId="1398BAB4">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u w:val="single"/>
              </w:rPr>
            </w:pPr>
            <w:r>
              <w:rPr>
                <w:highlight w:val="none"/>
                <w:u w:val="single"/>
              </w:rPr>
              <w:t>Annual Frequency</w:t>
            </w:r>
          </w:p>
        </w:tc>
        <w:tc>
          <w:tcPr>
            <w:tcW w:w="1984" w:type="dxa"/>
            <w:shd w:val="clear" w:color="auto" w:fill="auto"/>
            <w:tcMar>
              <w:top w:w="100" w:type="dxa"/>
              <w:left w:w="100" w:type="dxa"/>
              <w:bottom w:w="100" w:type="dxa"/>
              <w:right w:w="100" w:type="dxa"/>
            </w:tcMar>
          </w:tcPr>
          <w:p w14:paraId="653F3E31">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u w:val="single"/>
              </w:rPr>
            </w:pPr>
            <w:r>
              <w:rPr>
                <w:highlight w:val="none"/>
                <w:u w:val="single"/>
              </w:rPr>
              <w:t>Optional Analyzes</w:t>
            </w:r>
          </w:p>
        </w:tc>
      </w:tr>
      <w:tr w14:paraId="185FD65F">
        <w:tc>
          <w:tcPr>
            <w:tcW w:w="4395" w:type="dxa"/>
            <w:shd w:val="clear" w:color="auto" w:fill="auto"/>
            <w:tcMar>
              <w:top w:w="100" w:type="dxa"/>
              <w:left w:w="100" w:type="dxa"/>
              <w:bottom w:w="100" w:type="dxa"/>
              <w:right w:w="100" w:type="dxa"/>
            </w:tcMar>
          </w:tcPr>
          <w:p w14:paraId="630F1629">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Turbidity</w:t>
            </w:r>
          </w:p>
        </w:tc>
        <w:tc>
          <w:tcPr>
            <w:tcW w:w="2126" w:type="dxa"/>
            <w:shd w:val="clear" w:color="auto" w:fill="auto"/>
            <w:tcMar>
              <w:top w:w="100" w:type="dxa"/>
              <w:left w:w="100" w:type="dxa"/>
              <w:bottom w:w="100" w:type="dxa"/>
              <w:right w:w="100" w:type="dxa"/>
            </w:tcMar>
          </w:tcPr>
          <w:p w14:paraId="54D2141C">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c>
          <w:tcPr>
            <w:tcW w:w="1984" w:type="dxa"/>
            <w:shd w:val="clear" w:color="auto" w:fill="auto"/>
            <w:tcMar>
              <w:top w:w="100" w:type="dxa"/>
              <w:left w:w="100" w:type="dxa"/>
              <w:bottom w:w="100" w:type="dxa"/>
              <w:right w:w="100" w:type="dxa"/>
            </w:tcMar>
          </w:tcPr>
          <w:p w14:paraId="1A5A619F">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r>
      <w:tr w14:paraId="30A3A6CC">
        <w:tc>
          <w:tcPr>
            <w:tcW w:w="4395" w:type="dxa"/>
            <w:shd w:val="clear" w:color="auto" w:fill="auto"/>
            <w:tcMar>
              <w:top w:w="100" w:type="dxa"/>
              <w:left w:w="100" w:type="dxa"/>
              <w:bottom w:w="100" w:type="dxa"/>
              <w:right w:w="100" w:type="dxa"/>
            </w:tcMar>
          </w:tcPr>
          <w:p w14:paraId="2FAFCA89">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Color</w:t>
            </w:r>
          </w:p>
        </w:tc>
        <w:tc>
          <w:tcPr>
            <w:tcW w:w="2126" w:type="dxa"/>
            <w:shd w:val="clear" w:color="auto" w:fill="auto"/>
            <w:tcMar>
              <w:top w:w="100" w:type="dxa"/>
              <w:left w:w="100" w:type="dxa"/>
              <w:bottom w:w="100" w:type="dxa"/>
              <w:right w:w="100" w:type="dxa"/>
            </w:tcMar>
          </w:tcPr>
          <w:p w14:paraId="05F9C350">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c>
          <w:tcPr>
            <w:tcW w:w="1984" w:type="dxa"/>
            <w:shd w:val="clear" w:color="auto" w:fill="auto"/>
            <w:tcMar>
              <w:top w:w="100" w:type="dxa"/>
              <w:left w:w="100" w:type="dxa"/>
              <w:bottom w:w="100" w:type="dxa"/>
              <w:right w:w="100" w:type="dxa"/>
            </w:tcMar>
          </w:tcPr>
          <w:p w14:paraId="59C689DC">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r>
      <w:tr w14:paraId="33DEE1DD">
        <w:tc>
          <w:tcPr>
            <w:tcW w:w="4395" w:type="dxa"/>
            <w:shd w:val="clear" w:color="auto" w:fill="auto"/>
            <w:tcMar>
              <w:top w:w="100" w:type="dxa"/>
              <w:left w:w="100" w:type="dxa"/>
              <w:bottom w:w="100" w:type="dxa"/>
              <w:right w:w="100" w:type="dxa"/>
            </w:tcMar>
          </w:tcPr>
          <w:p w14:paraId="1142ACD7">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Smell and taste</w:t>
            </w:r>
          </w:p>
        </w:tc>
        <w:tc>
          <w:tcPr>
            <w:tcW w:w="2126" w:type="dxa"/>
            <w:shd w:val="clear" w:color="auto" w:fill="auto"/>
            <w:tcMar>
              <w:top w:w="100" w:type="dxa"/>
              <w:left w:w="100" w:type="dxa"/>
              <w:bottom w:w="100" w:type="dxa"/>
              <w:right w:w="100" w:type="dxa"/>
            </w:tcMar>
          </w:tcPr>
          <w:p w14:paraId="45ED6795">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c>
          <w:tcPr>
            <w:tcW w:w="1984" w:type="dxa"/>
            <w:shd w:val="clear" w:color="auto" w:fill="auto"/>
            <w:tcMar>
              <w:top w:w="100" w:type="dxa"/>
              <w:left w:w="100" w:type="dxa"/>
              <w:bottom w:w="100" w:type="dxa"/>
              <w:right w:w="100" w:type="dxa"/>
            </w:tcMar>
          </w:tcPr>
          <w:p w14:paraId="3FAB90CD">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r>
      <w:tr w14:paraId="709435F2">
        <w:tc>
          <w:tcPr>
            <w:tcW w:w="4395" w:type="dxa"/>
            <w:shd w:val="clear" w:color="auto" w:fill="auto"/>
            <w:tcMar>
              <w:top w:w="100" w:type="dxa"/>
              <w:left w:w="100" w:type="dxa"/>
              <w:bottom w:w="100" w:type="dxa"/>
              <w:right w:w="100" w:type="dxa"/>
            </w:tcMar>
          </w:tcPr>
          <w:p w14:paraId="088BA984">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Ph</w:t>
            </w:r>
          </w:p>
        </w:tc>
        <w:tc>
          <w:tcPr>
            <w:tcW w:w="2126" w:type="dxa"/>
            <w:shd w:val="clear" w:color="auto" w:fill="auto"/>
            <w:tcMar>
              <w:top w:w="100" w:type="dxa"/>
              <w:left w:w="100" w:type="dxa"/>
              <w:bottom w:w="100" w:type="dxa"/>
              <w:right w:w="100" w:type="dxa"/>
            </w:tcMar>
          </w:tcPr>
          <w:p w14:paraId="70F2D257">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c>
          <w:tcPr>
            <w:tcW w:w="1984" w:type="dxa"/>
            <w:shd w:val="clear" w:color="auto" w:fill="auto"/>
            <w:tcMar>
              <w:top w:w="100" w:type="dxa"/>
              <w:left w:w="100" w:type="dxa"/>
              <w:bottom w:w="100" w:type="dxa"/>
              <w:right w:w="100" w:type="dxa"/>
            </w:tcMar>
          </w:tcPr>
          <w:p w14:paraId="2E7C45F3">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r>
      <w:tr w14:paraId="519BC3F8">
        <w:tc>
          <w:tcPr>
            <w:tcW w:w="4395" w:type="dxa"/>
            <w:shd w:val="clear" w:color="auto" w:fill="auto"/>
            <w:tcMar>
              <w:top w:w="100" w:type="dxa"/>
              <w:left w:w="100" w:type="dxa"/>
              <w:bottom w:w="100" w:type="dxa"/>
              <w:right w:w="100" w:type="dxa"/>
            </w:tcMar>
          </w:tcPr>
          <w:p w14:paraId="00E66760">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Total Alkalinity</w:t>
            </w:r>
          </w:p>
        </w:tc>
        <w:tc>
          <w:tcPr>
            <w:tcW w:w="2126" w:type="dxa"/>
            <w:shd w:val="clear" w:color="auto" w:fill="auto"/>
            <w:tcMar>
              <w:top w:w="100" w:type="dxa"/>
              <w:left w:w="100" w:type="dxa"/>
              <w:bottom w:w="100" w:type="dxa"/>
              <w:right w:w="100" w:type="dxa"/>
            </w:tcMar>
          </w:tcPr>
          <w:p w14:paraId="22187511">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c>
          <w:tcPr>
            <w:tcW w:w="1984" w:type="dxa"/>
            <w:shd w:val="clear" w:color="auto" w:fill="auto"/>
            <w:tcMar>
              <w:top w:w="100" w:type="dxa"/>
              <w:left w:w="100" w:type="dxa"/>
              <w:bottom w:w="100" w:type="dxa"/>
              <w:right w:w="100" w:type="dxa"/>
            </w:tcMar>
          </w:tcPr>
          <w:p w14:paraId="1F4FC095">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r>
      <w:tr w14:paraId="3E159EF9">
        <w:tc>
          <w:tcPr>
            <w:tcW w:w="4395" w:type="dxa"/>
            <w:shd w:val="clear" w:color="auto" w:fill="auto"/>
            <w:tcMar>
              <w:top w:w="100" w:type="dxa"/>
              <w:left w:w="100" w:type="dxa"/>
              <w:bottom w:w="100" w:type="dxa"/>
              <w:right w:w="100" w:type="dxa"/>
            </w:tcMar>
          </w:tcPr>
          <w:p w14:paraId="5FB9ED40">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Total hardness</w:t>
            </w:r>
          </w:p>
        </w:tc>
        <w:tc>
          <w:tcPr>
            <w:tcW w:w="2126" w:type="dxa"/>
            <w:shd w:val="clear" w:color="auto" w:fill="auto"/>
            <w:tcMar>
              <w:top w:w="100" w:type="dxa"/>
              <w:left w:w="100" w:type="dxa"/>
              <w:bottom w:w="100" w:type="dxa"/>
              <w:right w:w="100" w:type="dxa"/>
            </w:tcMar>
          </w:tcPr>
          <w:p w14:paraId="7ACFA4D6">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c>
          <w:tcPr>
            <w:tcW w:w="1984" w:type="dxa"/>
            <w:shd w:val="clear" w:color="auto" w:fill="auto"/>
            <w:tcMar>
              <w:top w:w="100" w:type="dxa"/>
              <w:left w:w="100" w:type="dxa"/>
              <w:bottom w:w="100" w:type="dxa"/>
              <w:right w:w="100" w:type="dxa"/>
            </w:tcMar>
          </w:tcPr>
          <w:p w14:paraId="0AF397DD">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r>
      <w:tr w14:paraId="06CE0301">
        <w:tc>
          <w:tcPr>
            <w:tcW w:w="4395" w:type="dxa"/>
            <w:shd w:val="clear" w:color="auto" w:fill="auto"/>
            <w:tcMar>
              <w:top w:w="100" w:type="dxa"/>
              <w:left w:w="100" w:type="dxa"/>
              <w:bottom w:w="100" w:type="dxa"/>
              <w:right w:w="100" w:type="dxa"/>
            </w:tcMar>
          </w:tcPr>
          <w:p w14:paraId="5E809E4E">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Chloride</w:t>
            </w:r>
          </w:p>
        </w:tc>
        <w:tc>
          <w:tcPr>
            <w:tcW w:w="2126" w:type="dxa"/>
            <w:shd w:val="clear" w:color="auto" w:fill="auto"/>
            <w:tcMar>
              <w:top w:w="100" w:type="dxa"/>
              <w:left w:w="100" w:type="dxa"/>
              <w:bottom w:w="100" w:type="dxa"/>
              <w:right w:w="100" w:type="dxa"/>
            </w:tcMar>
          </w:tcPr>
          <w:p w14:paraId="07460D1A">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c>
          <w:tcPr>
            <w:tcW w:w="1984" w:type="dxa"/>
            <w:shd w:val="clear" w:color="auto" w:fill="auto"/>
            <w:tcMar>
              <w:top w:w="100" w:type="dxa"/>
              <w:left w:w="100" w:type="dxa"/>
              <w:bottom w:w="100" w:type="dxa"/>
              <w:right w:w="100" w:type="dxa"/>
            </w:tcMar>
          </w:tcPr>
          <w:p w14:paraId="25714E1A">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r>
      <w:tr w14:paraId="6D76C842">
        <w:tc>
          <w:tcPr>
            <w:tcW w:w="4395" w:type="dxa"/>
            <w:shd w:val="clear" w:color="auto" w:fill="auto"/>
            <w:tcMar>
              <w:top w:w="100" w:type="dxa"/>
              <w:left w:w="100" w:type="dxa"/>
              <w:bottom w:w="100" w:type="dxa"/>
              <w:right w:w="100" w:type="dxa"/>
            </w:tcMar>
          </w:tcPr>
          <w:p w14:paraId="285602C0">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Sulfate</w:t>
            </w:r>
          </w:p>
        </w:tc>
        <w:tc>
          <w:tcPr>
            <w:tcW w:w="2126" w:type="dxa"/>
            <w:shd w:val="clear" w:color="auto" w:fill="auto"/>
            <w:tcMar>
              <w:top w:w="100" w:type="dxa"/>
              <w:left w:w="100" w:type="dxa"/>
              <w:bottom w:w="100" w:type="dxa"/>
              <w:right w:w="100" w:type="dxa"/>
            </w:tcMar>
          </w:tcPr>
          <w:p w14:paraId="06B43ADF">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c>
          <w:tcPr>
            <w:tcW w:w="1984" w:type="dxa"/>
            <w:shd w:val="clear" w:color="auto" w:fill="auto"/>
            <w:tcMar>
              <w:top w:w="100" w:type="dxa"/>
              <w:left w:w="100" w:type="dxa"/>
              <w:bottom w:w="100" w:type="dxa"/>
              <w:right w:w="100" w:type="dxa"/>
            </w:tcMar>
          </w:tcPr>
          <w:p w14:paraId="4B433C8D">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r>
      <w:tr w14:paraId="78FE97F2">
        <w:tc>
          <w:tcPr>
            <w:tcW w:w="4395" w:type="dxa"/>
            <w:shd w:val="clear" w:color="auto" w:fill="auto"/>
            <w:tcMar>
              <w:top w:w="100" w:type="dxa"/>
              <w:left w:w="100" w:type="dxa"/>
              <w:bottom w:w="100" w:type="dxa"/>
              <w:right w:w="100" w:type="dxa"/>
            </w:tcMar>
          </w:tcPr>
          <w:p w14:paraId="00ED806B">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Magnesium</w:t>
            </w:r>
          </w:p>
        </w:tc>
        <w:tc>
          <w:tcPr>
            <w:tcW w:w="2126" w:type="dxa"/>
            <w:shd w:val="clear" w:color="auto" w:fill="auto"/>
            <w:tcMar>
              <w:top w:w="100" w:type="dxa"/>
              <w:left w:w="100" w:type="dxa"/>
              <w:bottom w:w="100" w:type="dxa"/>
              <w:right w:w="100" w:type="dxa"/>
            </w:tcMar>
          </w:tcPr>
          <w:p w14:paraId="326446D7">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c>
          <w:tcPr>
            <w:tcW w:w="1984" w:type="dxa"/>
            <w:shd w:val="clear" w:color="auto" w:fill="auto"/>
            <w:tcMar>
              <w:top w:w="100" w:type="dxa"/>
              <w:left w:w="100" w:type="dxa"/>
              <w:bottom w:w="100" w:type="dxa"/>
              <w:right w:w="100" w:type="dxa"/>
            </w:tcMar>
          </w:tcPr>
          <w:p w14:paraId="4BFE61E6">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r>
      <w:tr w14:paraId="59529DCD">
        <w:tc>
          <w:tcPr>
            <w:tcW w:w="4395" w:type="dxa"/>
            <w:shd w:val="clear" w:color="auto" w:fill="auto"/>
            <w:tcMar>
              <w:top w:w="100" w:type="dxa"/>
              <w:left w:w="100" w:type="dxa"/>
              <w:bottom w:w="100" w:type="dxa"/>
              <w:right w:w="100" w:type="dxa"/>
            </w:tcMar>
          </w:tcPr>
          <w:p w14:paraId="5A1809E9">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Fluorine</w:t>
            </w:r>
          </w:p>
        </w:tc>
        <w:tc>
          <w:tcPr>
            <w:tcW w:w="2126" w:type="dxa"/>
            <w:shd w:val="clear" w:color="auto" w:fill="auto"/>
            <w:tcMar>
              <w:top w:w="100" w:type="dxa"/>
              <w:left w:w="100" w:type="dxa"/>
              <w:bottom w:w="100" w:type="dxa"/>
              <w:right w:w="100" w:type="dxa"/>
            </w:tcMar>
          </w:tcPr>
          <w:p w14:paraId="6741182B">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c>
          <w:tcPr>
            <w:tcW w:w="1984" w:type="dxa"/>
            <w:shd w:val="clear" w:color="auto" w:fill="auto"/>
            <w:tcMar>
              <w:top w:w="100" w:type="dxa"/>
              <w:left w:w="100" w:type="dxa"/>
              <w:bottom w:w="100" w:type="dxa"/>
              <w:right w:w="100" w:type="dxa"/>
            </w:tcMar>
          </w:tcPr>
          <w:p w14:paraId="4749125F">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r>
      <w:tr w14:paraId="1230D3A2">
        <w:tc>
          <w:tcPr>
            <w:tcW w:w="4395" w:type="dxa"/>
            <w:shd w:val="clear" w:color="auto" w:fill="auto"/>
            <w:tcMar>
              <w:top w:w="100" w:type="dxa"/>
              <w:left w:w="100" w:type="dxa"/>
              <w:bottom w:w="100" w:type="dxa"/>
              <w:right w:w="100" w:type="dxa"/>
            </w:tcMar>
          </w:tcPr>
          <w:p w14:paraId="517CB2C3">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Arsenic</w:t>
            </w:r>
          </w:p>
        </w:tc>
        <w:tc>
          <w:tcPr>
            <w:tcW w:w="2126" w:type="dxa"/>
            <w:shd w:val="clear" w:color="auto" w:fill="auto"/>
            <w:tcMar>
              <w:top w:w="100" w:type="dxa"/>
              <w:left w:w="100" w:type="dxa"/>
              <w:bottom w:w="100" w:type="dxa"/>
              <w:right w:w="100" w:type="dxa"/>
            </w:tcMar>
          </w:tcPr>
          <w:p w14:paraId="37E2D542">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c>
          <w:tcPr>
            <w:tcW w:w="1984" w:type="dxa"/>
            <w:shd w:val="clear" w:color="auto" w:fill="auto"/>
            <w:tcMar>
              <w:top w:w="100" w:type="dxa"/>
              <w:left w:w="100" w:type="dxa"/>
              <w:bottom w:w="100" w:type="dxa"/>
              <w:right w:w="100" w:type="dxa"/>
            </w:tcMar>
          </w:tcPr>
          <w:p w14:paraId="141C0678">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r>
      <w:tr w14:paraId="3B43E7C5">
        <w:tc>
          <w:tcPr>
            <w:tcW w:w="4395" w:type="dxa"/>
            <w:shd w:val="clear" w:color="auto" w:fill="auto"/>
            <w:tcMar>
              <w:top w:w="100" w:type="dxa"/>
              <w:left w:w="100" w:type="dxa"/>
              <w:bottom w:w="100" w:type="dxa"/>
              <w:right w:w="100" w:type="dxa"/>
            </w:tcMar>
          </w:tcPr>
          <w:p w14:paraId="76339D81">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Lead</w:t>
            </w:r>
          </w:p>
        </w:tc>
        <w:tc>
          <w:tcPr>
            <w:tcW w:w="2126" w:type="dxa"/>
            <w:shd w:val="clear" w:color="auto" w:fill="auto"/>
            <w:tcMar>
              <w:top w:w="100" w:type="dxa"/>
              <w:left w:w="100" w:type="dxa"/>
              <w:bottom w:w="100" w:type="dxa"/>
              <w:right w:w="100" w:type="dxa"/>
            </w:tcMar>
          </w:tcPr>
          <w:p w14:paraId="352E4BC9">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c>
          <w:tcPr>
            <w:tcW w:w="1984" w:type="dxa"/>
            <w:shd w:val="clear" w:color="auto" w:fill="auto"/>
            <w:tcMar>
              <w:top w:w="100" w:type="dxa"/>
              <w:left w:w="100" w:type="dxa"/>
              <w:bottom w:w="100" w:type="dxa"/>
              <w:right w:w="100" w:type="dxa"/>
            </w:tcMar>
          </w:tcPr>
          <w:p w14:paraId="4C1E237A">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r>
      <w:tr w14:paraId="6D3C251F">
        <w:tc>
          <w:tcPr>
            <w:tcW w:w="4395" w:type="dxa"/>
            <w:shd w:val="clear" w:color="auto" w:fill="auto"/>
            <w:tcMar>
              <w:top w:w="100" w:type="dxa"/>
              <w:left w:w="100" w:type="dxa"/>
              <w:bottom w:w="100" w:type="dxa"/>
              <w:right w:w="100" w:type="dxa"/>
            </w:tcMar>
          </w:tcPr>
          <w:p w14:paraId="371F5259">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Nitrites</w:t>
            </w:r>
          </w:p>
        </w:tc>
        <w:tc>
          <w:tcPr>
            <w:tcW w:w="2126" w:type="dxa"/>
            <w:shd w:val="clear" w:color="auto" w:fill="auto"/>
            <w:tcMar>
              <w:top w:w="100" w:type="dxa"/>
              <w:left w:w="100" w:type="dxa"/>
              <w:bottom w:w="100" w:type="dxa"/>
              <w:right w:w="100" w:type="dxa"/>
            </w:tcMar>
          </w:tcPr>
          <w:p w14:paraId="47A6FBBF">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c>
          <w:tcPr>
            <w:tcW w:w="1984" w:type="dxa"/>
            <w:shd w:val="clear" w:color="auto" w:fill="auto"/>
            <w:tcMar>
              <w:top w:w="100" w:type="dxa"/>
              <w:left w:w="100" w:type="dxa"/>
              <w:bottom w:w="100" w:type="dxa"/>
              <w:right w:w="100" w:type="dxa"/>
            </w:tcMar>
          </w:tcPr>
          <w:p w14:paraId="6C1498F0">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r>
      <w:tr w14:paraId="6CD40414">
        <w:tc>
          <w:tcPr>
            <w:tcW w:w="4395" w:type="dxa"/>
            <w:shd w:val="clear" w:color="auto" w:fill="auto"/>
            <w:tcMar>
              <w:top w:w="100" w:type="dxa"/>
              <w:left w:w="100" w:type="dxa"/>
              <w:bottom w:w="100" w:type="dxa"/>
              <w:right w:w="100" w:type="dxa"/>
            </w:tcMar>
          </w:tcPr>
          <w:p w14:paraId="376912DE">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Nitrates</w:t>
            </w:r>
          </w:p>
        </w:tc>
        <w:tc>
          <w:tcPr>
            <w:tcW w:w="2126" w:type="dxa"/>
            <w:shd w:val="clear" w:color="auto" w:fill="auto"/>
            <w:tcMar>
              <w:top w:w="100" w:type="dxa"/>
              <w:left w:w="100" w:type="dxa"/>
              <w:bottom w:w="100" w:type="dxa"/>
              <w:right w:w="100" w:type="dxa"/>
            </w:tcMar>
          </w:tcPr>
          <w:p w14:paraId="5505AB2F">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c>
          <w:tcPr>
            <w:tcW w:w="1984" w:type="dxa"/>
            <w:shd w:val="clear" w:color="auto" w:fill="auto"/>
            <w:tcMar>
              <w:top w:w="100" w:type="dxa"/>
              <w:left w:w="100" w:type="dxa"/>
              <w:bottom w:w="100" w:type="dxa"/>
              <w:right w:w="100" w:type="dxa"/>
            </w:tcMar>
          </w:tcPr>
          <w:p w14:paraId="5585106D">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r>
      <w:tr w14:paraId="06221204">
        <w:tc>
          <w:tcPr>
            <w:tcW w:w="4395" w:type="dxa"/>
            <w:shd w:val="clear" w:color="auto" w:fill="auto"/>
            <w:tcMar>
              <w:top w:w="100" w:type="dxa"/>
              <w:left w:w="100" w:type="dxa"/>
              <w:bottom w:w="100" w:type="dxa"/>
              <w:right w:w="100" w:type="dxa"/>
            </w:tcMar>
          </w:tcPr>
          <w:p w14:paraId="1CAD7558">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Ammonia</w:t>
            </w:r>
          </w:p>
        </w:tc>
        <w:tc>
          <w:tcPr>
            <w:tcW w:w="2126" w:type="dxa"/>
            <w:shd w:val="clear" w:color="auto" w:fill="auto"/>
            <w:tcMar>
              <w:top w:w="100" w:type="dxa"/>
              <w:left w:w="100" w:type="dxa"/>
              <w:bottom w:w="100" w:type="dxa"/>
              <w:right w:w="100" w:type="dxa"/>
            </w:tcMar>
          </w:tcPr>
          <w:p w14:paraId="457B7108">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c>
          <w:tcPr>
            <w:tcW w:w="1984" w:type="dxa"/>
            <w:shd w:val="clear" w:color="auto" w:fill="auto"/>
            <w:tcMar>
              <w:top w:w="100" w:type="dxa"/>
              <w:left w:w="100" w:type="dxa"/>
              <w:bottom w:w="100" w:type="dxa"/>
              <w:right w:w="100" w:type="dxa"/>
            </w:tcMar>
          </w:tcPr>
          <w:p w14:paraId="2BAC255C">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r>
      <w:tr w14:paraId="03549155">
        <w:trPr>
          <w:trHeight w:val="121" w:hRule="atLeast"/>
        </w:trPr>
        <w:tc>
          <w:tcPr>
            <w:tcW w:w="4395" w:type="dxa"/>
            <w:shd w:val="clear" w:color="auto" w:fill="auto"/>
            <w:tcMar>
              <w:top w:w="100" w:type="dxa"/>
              <w:left w:w="100" w:type="dxa"/>
              <w:bottom w:w="100" w:type="dxa"/>
              <w:right w:w="100" w:type="dxa"/>
            </w:tcMar>
          </w:tcPr>
          <w:p w14:paraId="6419E3E4">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Iron</w:t>
            </w:r>
          </w:p>
        </w:tc>
        <w:tc>
          <w:tcPr>
            <w:tcW w:w="2126" w:type="dxa"/>
            <w:shd w:val="clear" w:color="auto" w:fill="auto"/>
            <w:tcMar>
              <w:top w:w="100" w:type="dxa"/>
              <w:left w:w="100" w:type="dxa"/>
              <w:bottom w:w="100" w:type="dxa"/>
              <w:right w:w="100" w:type="dxa"/>
            </w:tcMar>
          </w:tcPr>
          <w:p w14:paraId="504883C2">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c>
          <w:tcPr>
            <w:tcW w:w="1984" w:type="dxa"/>
            <w:shd w:val="clear" w:color="auto" w:fill="auto"/>
            <w:tcMar>
              <w:top w:w="100" w:type="dxa"/>
              <w:left w:w="100" w:type="dxa"/>
              <w:bottom w:w="100" w:type="dxa"/>
              <w:right w:w="100" w:type="dxa"/>
            </w:tcMar>
          </w:tcPr>
          <w:p w14:paraId="08F392D4">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r>
      <w:tr w14:paraId="5B6C94FF">
        <w:tc>
          <w:tcPr>
            <w:tcW w:w="4395" w:type="dxa"/>
            <w:shd w:val="clear" w:color="auto" w:fill="auto"/>
            <w:tcMar>
              <w:top w:w="100" w:type="dxa"/>
              <w:left w:w="100" w:type="dxa"/>
              <w:bottom w:w="100" w:type="dxa"/>
              <w:right w:w="100" w:type="dxa"/>
            </w:tcMar>
          </w:tcPr>
          <w:p w14:paraId="5E5813D6">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Total dissolved solids</w:t>
            </w:r>
          </w:p>
        </w:tc>
        <w:tc>
          <w:tcPr>
            <w:tcW w:w="2126" w:type="dxa"/>
            <w:shd w:val="clear" w:color="auto" w:fill="auto"/>
            <w:tcMar>
              <w:top w:w="100" w:type="dxa"/>
              <w:left w:w="100" w:type="dxa"/>
              <w:bottom w:w="100" w:type="dxa"/>
              <w:right w:w="100" w:type="dxa"/>
            </w:tcMar>
          </w:tcPr>
          <w:p w14:paraId="73FDEE28">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c>
          <w:tcPr>
            <w:tcW w:w="1984" w:type="dxa"/>
            <w:shd w:val="clear" w:color="auto" w:fill="auto"/>
            <w:tcMar>
              <w:top w:w="100" w:type="dxa"/>
              <w:left w:w="100" w:type="dxa"/>
              <w:bottom w:w="100" w:type="dxa"/>
              <w:right w:w="100" w:type="dxa"/>
            </w:tcMar>
          </w:tcPr>
          <w:p w14:paraId="6FA65736">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r>
      <w:tr w14:paraId="28824590">
        <w:tc>
          <w:tcPr>
            <w:tcW w:w="4395" w:type="dxa"/>
            <w:shd w:val="clear" w:color="auto" w:fill="auto"/>
            <w:tcMar>
              <w:top w:w="100" w:type="dxa"/>
              <w:left w:w="100" w:type="dxa"/>
              <w:bottom w:w="100" w:type="dxa"/>
              <w:right w:w="100" w:type="dxa"/>
            </w:tcMar>
          </w:tcPr>
          <w:p w14:paraId="6F9CE781">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Conductivity</w:t>
            </w:r>
          </w:p>
        </w:tc>
        <w:tc>
          <w:tcPr>
            <w:tcW w:w="2126" w:type="dxa"/>
            <w:shd w:val="clear" w:color="auto" w:fill="auto"/>
            <w:tcMar>
              <w:top w:w="100" w:type="dxa"/>
              <w:left w:w="100" w:type="dxa"/>
              <w:bottom w:w="100" w:type="dxa"/>
              <w:right w:w="100" w:type="dxa"/>
            </w:tcMar>
          </w:tcPr>
          <w:p w14:paraId="716A3D24">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c>
          <w:tcPr>
            <w:tcW w:w="1984" w:type="dxa"/>
            <w:shd w:val="clear" w:color="auto" w:fill="auto"/>
            <w:tcMar>
              <w:top w:w="100" w:type="dxa"/>
              <w:left w:w="100" w:type="dxa"/>
              <w:bottom w:w="100" w:type="dxa"/>
              <w:right w:w="100" w:type="dxa"/>
            </w:tcMar>
          </w:tcPr>
          <w:p w14:paraId="13B882E5">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r>
      <w:tr w14:paraId="2E8DAB41">
        <w:trPr>
          <w:trHeight w:val="22" w:hRule="atLeast"/>
        </w:trPr>
        <w:tc>
          <w:tcPr>
            <w:tcW w:w="4395" w:type="dxa"/>
            <w:shd w:val="clear" w:color="auto" w:fill="auto"/>
            <w:tcMar>
              <w:top w:w="100" w:type="dxa"/>
              <w:left w:w="100" w:type="dxa"/>
              <w:bottom w:w="100" w:type="dxa"/>
              <w:right w:w="100" w:type="dxa"/>
            </w:tcMar>
          </w:tcPr>
          <w:p w14:paraId="28B36BE6">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rPr>
                <w:highlight w:val="none"/>
              </w:rPr>
            </w:pPr>
            <w:r>
              <w:rPr>
                <w:highlight w:val="none"/>
              </w:rPr>
              <w:t xml:space="preserve">Bacteriological: total aerobes, total coliforms, </w:t>
            </w:r>
            <w:r>
              <w:rPr>
                <w:i/>
                <w:iCs/>
                <w:highlight w:val="none"/>
              </w:rPr>
              <w:t>Escherichia coli, Pseudomonas aeruginosa</w:t>
            </w:r>
          </w:p>
        </w:tc>
        <w:tc>
          <w:tcPr>
            <w:tcW w:w="2126" w:type="dxa"/>
            <w:shd w:val="clear" w:color="auto" w:fill="auto"/>
            <w:tcMar>
              <w:top w:w="100" w:type="dxa"/>
              <w:left w:w="100" w:type="dxa"/>
              <w:bottom w:w="100" w:type="dxa"/>
              <w:right w:w="100" w:type="dxa"/>
            </w:tcMar>
          </w:tcPr>
          <w:p w14:paraId="063F0E15">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r>
              <w:rPr>
                <w:highlight w:val="none"/>
              </w:rPr>
              <w:t>X</w:t>
            </w:r>
          </w:p>
        </w:tc>
        <w:tc>
          <w:tcPr>
            <w:tcW w:w="1984" w:type="dxa"/>
            <w:shd w:val="clear" w:color="auto" w:fill="auto"/>
            <w:tcMar>
              <w:top w:w="100" w:type="dxa"/>
              <w:left w:w="100" w:type="dxa"/>
              <w:bottom w:w="100" w:type="dxa"/>
              <w:right w:w="100" w:type="dxa"/>
            </w:tcMar>
          </w:tcPr>
          <w:p w14:paraId="3C0BDF98">
            <w:pPr>
              <w:widowControl w:val="0"/>
              <w:pBdr>
                <w:top w:val="none" w:color="auto" w:sz="0" w:space="0"/>
                <w:left w:val="none" w:color="auto" w:sz="0" w:space="0"/>
                <w:bottom w:val="none" w:color="auto" w:sz="0" w:space="0"/>
                <w:right w:val="none" w:color="auto" w:sz="0" w:space="0"/>
                <w:between w:val="none" w:color="auto" w:sz="0" w:space="0"/>
              </w:pBdr>
              <w:spacing w:before="0" w:after="0" w:line="240" w:lineRule="auto"/>
              <w:jc w:val="center"/>
              <w:rPr>
                <w:highlight w:val="none"/>
              </w:rPr>
            </w:pPr>
          </w:p>
        </w:tc>
      </w:tr>
    </w:tbl>
    <w:p w14:paraId="0BEF98B6">
      <w:p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cs="Times New Roman"/>
          <w:color w:val="000000"/>
          <w:highlight w:val="none"/>
        </w:rPr>
      </w:pPr>
    </w:p>
    <w:p w14:paraId="01C22529">
      <w:pPr>
        <w:spacing w:before="0" w:after="0"/>
        <w:rPr>
          <w:b/>
          <w:bCs/>
          <w:color w:val="000000"/>
          <w:highlight w:val="none"/>
          <w:u w:val="single"/>
        </w:rPr>
      </w:pPr>
      <w:r>
        <w:rPr>
          <w:b/>
          <w:bCs/>
          <w:color w:val="000000"/>
          <w:highlight w:val="none"/>
          <w:u w:val="single"/>
        </w:rPr>
        <w:t>AIR QUALITY REPORT</w:t>
      </w:r>
    </w:p>
    <w:p w14:paraId="10183B5D">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Worms Argentina S.A. has prepared a report with the objective of determine the concentration of Suspended Particulate Matter (PM10) and Hydrogen Sulfide in the air, in four (4) assigned monitoring posts, for a short measurement period (20 min).</w:t>
      </w:r>
    </w:p>
    <w:p w14:paraId="3B023BFC">
      <w:pPr>
        <w:pBdr>
          <w:top w:val="none" w:color="auto" w:sz="0" w:space="0"/>
          <w:left w:val="none" w:color="auto" w:sz="0" w:space="0"/>
          <w:bottom w:val="none" w:color="auto" w:sz="0" w:space="0"/>
          <w:right w:val="none" w:color="auto" w:sz="0" w:space="0"/>
          <w:between w:val="none" w:color="auto" w:sz="0" w:space="0"/>
        </w:pBdr>
        <w:spacing w:after="0"/>
        <w:rPr>
          <w:color w:val="000000"/>
          <w:highlight w:val="none"/>
        </w:rPr>
      </w:pPr>
      <w:r>
        <w:rPr>
          <w:color w:val="000000"/>
          <w:highlight w:val="none"/>
        </w:rPr>
        <w:t>The work has been carried out under standardized procedures, by trained personnel and through the use of equipment and instruments developed for this purpose. HSE Engineering guarantees the veracity of the information contained in this report and its confidentiality. The environmental regulation applicable to this monitoring report is the Resolution Nº 201/04 – Air quality guide levels for province of Santa Fe.</w:t>
      </w:r>
    </w:p>
    <w:tbl>
      <w:tblPr>
        <w:tblStyle w:val="12"/>
        <w:tblW w:w="73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81"/>
        <w:gridCol w:w="3685"/>
      </w:tblGrid>
      <w:tr w14:paraId="340118B0">
        <w:trPr>
          <w:trHeight w:val="108" w:hRule="atLeast"/>
          <w:jc w:val="center"/>
        </w:trPr>
        <w:tc>
          <w:tcPr>
            <w:tcW w:w="3681" w:type="dxa"/>
          </w:tcPr>
          <w:p w14:paraId="728308E9">
            <w:pPr>
              <w:spacing w:before="0" w:after="0"/>
              <w:jc w:val="center"/>
              <w:rPr>
                <w:color w:val="000000"/>
                <w:highlight w:val="none"/>
                <w:u w:val="single"/>
              </w:rPr>
            </w:pPr>
            <w:r>
              <w:rPr>
                <w:highlight w:val="none"/>
                <w:u w:val="single"/>
              </w:rPr>
              <w:t>contaminants</w:t>
            </w:r>
          </w:p>
        </w:tc>
        <w:tc>
          <w:tcPr>
            <w:tcW w:w="3685" w:type="dxa"/>
          </w:tcPr>
          <w:p w14:paraId="27F9C4D6">
            <w:pPr>
              <w:spacing w:before="0" w:after="0"/>
              <w:jc w:val="center"/>
              <w:rPr>
                <w:highlight w:val="none"/>
                <w:u w:val="single"/>
              </w:rPr>
            </w:pPr>
            <w:r>
              <w:rPr>
                <w:highlight w:val="none"/>
                <w:u w:val="single"/>
              </w:rPr>
              <w:t>C.A.P.C. (20 min) mg/m</w:t>
            </w:r>
            <w:r>
              <w:rPr>
                <w:highlight w:val="none"/>
                <w:u w:val="single"/>
                <w:vertAlign w:val="superscript"/>
              </w:rPr>
              <w:t>3</w:t>
            </w:r>
          </w:p>
        </w:tc>
      </w:tr>
      <w:tr w14:paraId="0F416EDC">
        <w:trPr>
          <w:jc w:val="center"/>
        </w:trPr>
        <w:tc>
          <w:tcPr>
            <w:tcW w:w="3681" w:type="dxa"/>
          </w:tcPr>
          <w:p w14:paraId="291CF4B3">
            <w:pPr>
              <w:spacing w:before="0" w:after="0"/>
              <w:rPr>
                <w:color w:val="000000"/>
                <w:highlight w:val="none"/>
              </w:rPr>
            </w:pPr>
            <w:r>
              <w:rPr>
                <w:highlight w:val="none"/>
              </w:rPr>
              <w:t>particulate matter (PM10)</w:t>
            </w:r>
          </w:p>
        </w:tc>
        <w:tc>
          <w:tcPr>
            <w:tcW w:w="3685" w:type="dxa"/>
          </w:tcPr>
          <w:p w14:paraId="56E44BEC">
            <w:pPr>
              <w:spacing w:before="0" w:after="0"/>
              <w:jc w:val="center"/>
              <w:rPr>
                <w:color w:val="000000"/>
                <w:highlight w:val="none"/>
              </w:rPr>
            </w:pPr>
            <w:r>
              <w:rPr>
                <w:highlight w:val="none"/>
              </w:rPr>
              <w:t>0.50</w:t>
            </w:r>
          </w:p>
        </w:tc>
      </w:tr>
      <w:tr w14:paraId="128C1F97">
        <w:trPr>
          <w:jc w:val="center"/>
        </w:trPr>
        <w:tc>
          <w:tcPr>
            <w:tcW w:w="3681" w:type="dxa"/>
          </w:tcPr>
          <w:p w14:paraId="5C46A465">
            <w:pPr>
              <w:spacing w:before="0" w:after="0"/>
              <w:rPr>
                <w:highlight w:val="none"/>
              </w:rPr>
            </w:pPr>
            <w:r>
              <w:rPr>
                <w:highlight w:val="none"/>
              </w:rPr>
              <w:t>Hydrogen sulfide (H2S)</w:t>
            </w:r>
          </w:p>
        </w:tc>
        <w:tc>
          <w:tcPr>
            <w:tcW w:w="3685" w:type="dxa"/>
          </w:tcPr>
          <w:p w14:paraId="1D1D928E">
            <w:pPr>
              <w:spacing w:before="0" w:after="0"/>
              <w:jc w:val="center"/>
              <w:rPr>
                <w:color w:val="000000"/>
                <w:highlight w:val="none"/>
              </w:rPr>
            </w:pPr>
            <w:r>
              <w:rPr>
                <w:highlight w:val="none"/>
              </w:rPr>
              <w:t>—</w:t>
            </w:r>
          </w:p>
        </w:tc>
      </w:tr>
    </w:tbl>
    <w:p w14:paraId="24A49AB4">
      <w:pPr>
        <w:pBdr>
          <w:top w:val="none" w:color="auto" w:sz="0" w:space="0"/>
          <w:left w:val="none" w:color="auto" w:sz="0" w:space="0"/>
          <w:bottom w:val="none" w:color="auto" w:sz="0" w:space="0"/>
          <w:right w:val="none" w:color="auto" w:sz="0" w:space="0"/>
          <w:between w:val="none" w:color="auto" w:sz="0" w:space="0"/>
        </w:pBdr>
        <w:spacing w:after="0"/>
        <w:rPr>
          <w:color w:val="000000"/>
          <w:highlight w:val="none"/>
        </w:rPr>
      </w:pPr>
      <w:r>
        <w:rPr>
          <w:color w:val="000000"/>
          <w:highlight w:val="none"/>
        </w:rPr>
        <w:t>The methodologies appl</w:t>
      </w:r>
      <w:r>
        <w:rPr>
          <w:rFonts w:hint="default"/>
          <w:color w:val="000000"/>
          <w:highlight w:val="none"/>
          <w:lang w:val="es-ES"/>
        </w:rPr>
        <w:t>i</w:t>
      </w:r>
      <w:r>
        <w:rPr>
          <w:color w:val="000000"/>
          <w:highlight w:val="none"/>
        </w:rPr>
        <w:t>ed were:</w:t>
      </w:r>
    </w:p>
    <w:p w14:paraId="59CFC3BB">
      <w:pPr>
        <w:pStyle w:val="35"/>
        <w:numPr>
          <w:ilvl w:val="0"/>
          <w:numId w:val="10"/>
        </w:numPr>
        <w:pBdr>
          <w:top w:val="none" w:color="auto" w:sz="0" w:space="0"/>
          <w:left w:val="none" w:color="auto" w:sz="0" w:space="0"/>
          <w:bottom w:val="none" w:color="auto" w:sz="0" w:space="0"/>
          <w:right w:val="none" w:color="auto" w:sz="0" w:space="0"/>
          <w:between w:val="none" w:color="auto" w:sz="0" w:space="0"/>
        </w:pBdr>
        <w:ind w:left="0" w:firstLine="284"/>
        <w:rPr>
          <w:color w:val="000000"/>
          <w:highlight w:val="none"/>
        </w:rPr>
      </w:pPr>
      <w:r>
        <w:rPr>
          <w:color w:val="000000"/>
          <w:highlight w:val="none"/>
        </w:rPr>
        <w:t>EPA1 Method IO-2.3: Reference standard for determining suspended particulate matter (such as PM10) for short monitoring periods (20 min.).</w:t>
      </w:r>
    </w:p>
    <w:p w14:paraId="1294BCB2">
      <w:pPr>
        <w:pStyle w:val="35"/>
        <w:numPr>
          <w:ilvl w:val="0"/>
          <w:numId w:val="10"/>
        </w:numPr>
        <w:pBdr>
          <w:top w:val="none" w:color="auto" w:sz="0" w:space="0"/>
          <w:left w:val="none" w:color="auto" w:sz="0" w:space="0"/>
          <w:bottom w:val="none" w:color="auto" w:sz="0" w:space="0"/>
          <w:right w:val="none" w:color="auto" w:sz="0" w:space="0"/>
          <w:between w:val="none" w:color="auto" w:sz="0" w:space="0"/>
        </w:pBdr>
        <w:ind w:left="0" w:firstLine="284"/>
        <w:rPr>
          <w:color w:val="000000"/>
          <w:highlight w:val="none"/>
        </w:rPr>
      </w:pPr>
      <w:r>
        <w:rPr>
          <w:color w:val="000000"/>
          <w:highlight w:val="none"/>
        </w:rPr>
        <w:t>Methods of Air Sampling and Analysis (Third Edition) - 701: Standard method for determination of hydrogen sulfide in the atmosphere.</w:t>
      </w:r>
    </w:p>
    <w:p w14:paraId="6F17B162">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Four SKC model 1700 air sampling equipment with a PM10 cyclone and an impingers system containing a capture solution for H2S were used.</w:t>
      </w:r>
    </w:p>
    <w:p w14:paraId="7AFCE9B2">
      <w:pPr>
        <w:pBdr>
          <w:top w:val="none" w:color="auto" w:sz="0" w:space="0"/>
          <w:left w:val="none" w:color="auto" w:sz="0" w:space="0"/>
          <w:bottom w:val="none" w:color="auto" w:sz="0" w:space="0"/>
          <w:right w:val="none" w:color="auto" w:sz="0" w:space="0"/>
          <w:between w:val="none" w:color="auto" w:sz="0" w:space="0"/>
        </w:pBdr>
        <w:rPr>
          <w:color w:val="000000"/>
          <w:highlight w:val="none"/>
          <w:u w:val="single"/>
        </w:rPr>
      </w:pPr>
      <w:r>
        <w:rPr>
          <w:color w:val="000000"/>
          <w:highlight w:val="none"/>
          <w:u w:val="single"/>
        </w:rPr>
        <w:t>MONITORING DESCRIPTION</w:t>
      </w:r>
    </w:p>
    <w:p w14:paraId="539E3D7C">
      <w:pPr>
        <w:pBdr>
          <w:top w:val="none" w:color="auto" w:sz="0" w:space="0"/>
          <w:left w:val="none" w:color="auto" w:sz="0" w:space="0"/>
          <w:bottom w:val="none" w:color="auto" w:sz="0" w:space="0"/>
          <w:right w:val="none" w:color="auto" w:sz="0" w:space="0"/>
          <w:between w:val="none" w:color="auto" w:sz="0" w:space="0"/>
        </w:pBdr>
        <w:spacing w:after="0"/>
        <w:rPr>
          <w:color w:val="000000"/>
          <w:highlight w:val="none"/>
        </w:rPr>
      </w:pPr>
      <w:r>
        <w:rPr>
          <w:color w:val="000000"/>
          <w:highlight w:val="none"/>
        </w:rPr>
        <w:t>The monitoring positions were recorded with the applicant. They were located around the plant, arranged as shown in the following image:</w:t>
      </w:r>
    </w:p>
    <w:p w14:paraId="78A9A692">
      <w:pPr>
        <w:pBdr>
          <w:top w:val="none" w:color="auto" w:sz="0" w:space="0"/>
          <w:left w:val="none" w:color="auto" w:sz="0" w:space="0"/>
          <w:bottom w:val="none" w:color="auto" w:sz="0" w:space="0"/>
          <w:right w:val="none" w:color="auto" w:sz="0" w:space="0"/>
          <w:between w:val="none" w:color="auto" w:sz="0" w:space="0"/>
        </w:pBdr>
        <w:spacing w:before="0" w:after="0"/>
        <w:jc w:val="center"/>
        <w:rPr>
          <w:color w:val="000000"/>
          <w:highlight w:val="none"/>
        </w:rPr>
      </w:pPr>
      <w:r>
        <w:rPr>
          <w:color w:val="000000"/>
          <w:highlight w:val="none"/>
          <w:lang w:eastAsia="es-ES"/>
        </w:rPr>
        <w:drawing>
          <wp:inline distT="0" distB="0" distL="0" distR="0">
            <wp:extent cx="4070350" cy="1934845"/>
            <wp:effectExtent l="0" t="0" r="19050" b="20955"/>
            <wp:docPr id="5174" name="image12.png" descr="Map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174" name="image12.png" descr="Mapa&#10;&#10;Descripción generada automáticamente con confianza media"/>
                    <pic:cNvPicPr preferRelativeResize="0"/>
                  </pic:nvPicPr>
                  <pic:blipFill>
                    <a:blip r:embed="rId17"/>
                    <a:srcRect/>
                    <a:stretch>
                      <a:fillRect/>
                    </a:stretch>
                  </pic:blipFill>
                  <pic:spPr>
                    <a:xfrm>
                      <a:off x="0" y="0"/>
                      <a:ext cx="4070350" cy="1934845"/>
                    </a:xfrm>
                    <a:prstGeom prst="rect">
                      <a:avLst/>
                    </a:prstGeom>
                  </pic:spPr>
                </pic:pic>
              </a:graphicData>
            </a:graphic>
          </wp:inline>
        </w:drawing>
      </w:r>
    </w:p>
    <w:p w14:paraId="3F0BF99B">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color w:val="000000"/>
          <w:highlight w:val="none"/>
          <w:lang w:val="en-US" w:eastAsia="es-ES"/>
        </w:rPr>
      </w:pPr>
      <w:r>
        <w:rPr>
          <w:rFonts w:hint="default"/>
          <w:i/>
          <w:iCs/>
          <w:sz w:val="20"/>
          <w:szCs w:val="20"/>
          <w:highlight w:val="none"/>
          <w:lang w:val="en-US"/>
        </w:rPr>
        <w:t xml:space="preserve">Figure </w:t>
      </w:r>
      <w:r>
        <w:rPr>
          <w:rFonts w:hint="default"/>
          <w:i/>
          <w:iCs/>
          <w:sz w:val="20"/>
          <w:szCs w:val="20"/>
          <w:highlight w:val="none"/>
          <w:lang w:val="es-ES"/>
        </w:rPr>
        <w:t>4.</w:t>
      </w:r>
      <w:r>
        <w:rPr>
          <w:rFonts w:hint="default"/>
          <w:i/>
          <w:iCs/>
          <w:sz w:val="20"/>
          <w:szCs w:val="20"/>
          <w:highlight w:val="none"/>
          <w:lang w:val="en-US"/>
        </w:rPr>
        <w:t xml:space="preserve"> </w:t>
      </w:r>
      <w:r>
        <w:rPr>
          <w:rFonts w:hint="default"/>
          <w:i/>
          <w:iCs/>
          <w:sz w:val="20"/>
          <w:szCs w:val="20"/>
          <w:highlight w:val="none"/>
          <w:lang w:val="es-ES"/>
        </w:rPr>
        <w:t>M</w:t>
      </w:r>
      <w:r>
        <w:rPr>
          <w:rFonts w:hint="default"/>
          <w:i/>
          <w:iCs/>
          <w:sz w:val="20"/>
          <w:szCs w:val="20"/>
          <w:highlight w:val="none"/>
          <w:lang w:val="en-US"/>
        </w:rPr>
        <w:t xml:space="preserve">onitoring positions </w:t>
      </w:r>
      <w:r>
        <w:rPr>
          <w:rFonts w:hint="default"/>
          <w:i/>
          <w:iCs/>
          <w:sz w:val="20"/>
          <w:szCs w:val="20"/>
          <w:highlight w:val="none"/>
          <w:lang w:val="es-ES"/>
        </w:rPr>
        <w:t>for air quality at Worms Argentina S.A.</w:t>
      </w:r>
      <w:r>
        <w:rPr>
          <w:rFonts w:hint="default"/>
          <w:i/>
          <w:iCs/>
          <w:sz w:val="20"/>
          <w:szCs w:val="20"/>
          <w:highlight w:val="none"/>
          <w:lang w:val="en-US"/>
        </w:rPr>
        <w:t xml:space="preserve"> </w:t>
      </w:r>
      <w:r>
        <w:rPr>
          <w:rFonts w:hint="default"/>
          <w:i/>
          <w:iCs/>
          <w:sz w:val="20"/>
          <w:szCs w:val="20"/>
          <w:highlight w:val="none"/>
          <w:lang w:val="es-ES"/>
        </w:rPr>
        <w:t>Source: Google Earth,</w:t>
      </w:r>
    </w:p>
    <w:p w14:paraId="1F6817CB">
      <w:pPr>
        <w:pBdr>
          <w:top w:val="none" w:color="auto" w:sz="0" w:space="0"/>
          <w:left w:val="none" w:color="auto" w:sz="0" w:space="0"/>
          <w:bottom w:val="none" w:color="auto" w:sz="0" w:space="0"/>
          <w:right w:val="none" w:color="auto" w:sz="0" w:space="0"/>
          <w:between w:val="none" w:color="auto" w:sz="0" w:space="0"/>
        </w:pBdr>
        <w:spacing w:after="0"/>
        <w:rPr>
          <w:color w:val="000000"/>
          <w:highlight w:val="none"/>
        </w:rPr>
      </w:pPr>
      <w:r>
        <w:rPr>
          <w:color w:val="000000"/>
          <w:highlight w:val="none"/>
        </w:rPr>
        <w:t>The equipment was installed and put into operation on 11/04/2021.</w:t>
      </w:r>
    </w:p>
    <w:p w14:paraId="776577D2">
      <w:pPr>
        <w:pBdr>
          <w:top w:val="none" w:color="auto" w:sz="0" w:space="0"/>
          <w:left w:val="none" w:color="auto" w:sz="0" w:space="0"/>
          <w:bottom w:val="none" w:color="auto" w:sz="0" w:space="0"/>
          <w:right w:val="none" w:color="auto" w:sz="0" w:space="0"/>
          <w:between w:val="none" w:color="auto" w:sz="0" w:space="0"/>
        </w:pBdr>
        <w:spacing w:after="0"/>
        <w:rPr>
          <w:color w:val="000000"/>
          <w:highlight w:val="none"/>
        </w:rPr>
      </w:pPr>
      <w:r>
        <w:rPr>
          <w:color w:val="000000"/>
          <w:highlight w:val="none"/>
        </w:rPr>
        <w:t>At the time of monitoring, the following data was recorded:</w:t>
      </w:r>
    </w:p>
    <w:tbl>
      <w:tblPr>
        <w:tblStyle w:val="12"/>
        <w:tblW w:w="86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993"/>
        <w:gridCol w:w="1559"/>
        <w:gridCol w:w="1134"/>
        <w:gridCol w:w="709"/>
        <w:gridCol w:w="834"/>
        <w:gridCol w:w="1008"/>
        <w:gridCol w:w="1276"/>
      </w:tblGrid>
      <w:tr w14:paraId="78B67C82">
        <w:trPr>
          <w:jc w:val="center"/>
        </w:trPr>
        <w:tc>
          <w:tcPr>
            <w:tcW w:w="1134" w:type="dxa"/>
          </w:tcPr>
          <w:p w14:paraId="0AB2B285">
            <w:pPr>
              <w:spacing w:before="0" w:after="0"/>
              <w:jc w:val="center"/>
              <w:rPr>
                <w:color w:val="000000"/>
                <w:highlight w:val="none"/>
              </w:rPr>
            </w:pPr>
            <w:r>
              <w:rPr>
                <w:color w:val="000000"/>
                <w:highlight w:val="none"/>
              </w:rPr>
              <w:t>Temperature</w:t>
            </w:r>
          </w:p>
        </w:tc>
        <w:tc>
          <w:tcPr>
            <w:tcW w:w="993" w:type="dxa"/>
          </w:tcPr>
          <w:p w14:paraId="04775C48">
            <w:pPr>
              <w:spacing w:before="0" w:after="0"/>
              <w:jc w:val="center"/>
              <w:rPr>
                <w:color w:val="000000"/>
                <w:highlight w:val="none"/>
              </w:rPr>
            </w:pPr>
            <w:r>
              <w:rPr>
                <w:color w:val="000000"/>
                <w:highlight w:val="none"/>
              </w:rPr>
              <w:t>Humidity</w:t>
            </w:r>
          </w:p>
        </w:tc>
        <w:tc>
          <w:tcPr>
            <w:tcW w:w="1559" w:type="dxa"/>
          </w:tcPr>
          <w:p w14:paraId="721BDFF7">
            <w:pPr>
              <w:spacing w:before="0" w:after="0"/>
              <w:jc w:val="center"/>
              <w:rPr>
                <w:color w:val="000000"/>
                <w:highlight w:val="none"/>
              </w:rPr>
            </w:pPr>
            <w:r>
              <w:rPr>
                <w:color w:val="000000"/>
                <w:highlight w:val="none"/>
              </w:rPr>
              <w:t>Pressure</w:t>
            </w:r>
          </w:p>
        </w:tc>
        <w:tc>
          <w:tcPr>
            <w:tcW w:w="1134" w:type="dxa"/>
          </w:tcPr>
          <w:p w14:paraId="326BEE35">
            <w:pPr>
              <w:spacing w:before="0" w:after="0"/>
              <w:jc w:val="center"/>
              <w:rPr>
                <w:color w:val="000000"/>
                <w:highlight w:val="none"/>
              </w:rPr>
            </w:pPr>
            <w:r>
              <w:rPr>
                <w:color w:val="000000"/>
                <w:highlight w:val="none"/>
              </w:rPr>
              <w:t>Visibility</w:t>
            </w:r>
          </w:p>
        </w:tc>
        <w:tc>
          <w:tcPr>
            <w:tcW w:w="709" w:type="dxa"/>
          </w:tcPr>
          <w:p w14:paraId="719E3B3F">
            <w:pPr>
              <w:spacing w:before="0" w:after="0"/>
              <w:jc w:val="center"/>
              <w:rPr>
                <w:color w:val="000000"/>
                <w:highlight w:val="none"/>
              </w:rPr>
            </w:pPr>
            <w:r>
              <w:rPr>
                <w:color w:val="000000"/>
                <w:highlight w:val="none"/>
              </w:rPr>
              <w:t>Win- Dir</w:t>
            </w:r>
          </w:p>
        </w:tc>
        <w:tc>
          <w:tcPr>
            <w:tcW w:w="834" w:type="dxa"/>
          </w:tcPr>
          <w:p w14:paraId="5E53D17A">
            <w:pPr>
              <w:spacing w:before="0" w:after="0"/>
              <w:jc w:val="center"/>
              <w:rPr>
                <w:color w:val="000000"/>
                <w:highlight w:val="none"/>
              </w:rPr>
            </w:pPr>
            <w:r>
              <w:rPr>
                <w:color w:val="000000"/>
                <w:highlight w:val="none"/>
              </w:rPr>
              <w:t>Win -</w:t>
            </w:r>
            <w:r>
              <w:rPr>
                <w:highlight w:val="none"/>
              </w:rPr>
              <w:t xml:space="preserve"> </w:t>
            </w:r>
            <w:r>
              <w:rPr>
                <w:color w:val="000000"/>
                <w:highlight w:val="none"/>
              </w:rPr>
              <w:t>speed</w:t>
            </w:r>
          </w:p>
        </w:tc>
        <w:tc>
          <w:tcPr>
            <w:tcW w:w="1008" w:type="dxa"/>
          </w:tcPr>
          <w:p w14:paraId="50981D3F">
            <w:pPr>
              <w:spacing w:before="0" w:after="0"/>
              <w:jc w:val="center"/>
              <w:rPr>
                <w:color w:val="000000"/>
                <w:highlight w:val="none"/>
              </w:rPr>
            </w:pPr>
            <w:r>
              <w:rPr>
                <w:color w:val="000000"/>
                <w:highlight w:val="none"/>
              </w:rPr>
              <w:t>Precipitation</w:t>
            </w:r>
          </w:p>
        </w:tc>
        <w:tc>
          <w:tcPr>
            <w:tcW w:w="1276" w:type="dxa"/>
          </w:tcPr>
          <w:p w14:paraId="76A6D140">
            <w:pPr>
              <w:spacing w:before="0" w:after="0"/>
              <w:jc w:val="center"/>
              <w:rPr>
                <w:color w:val="000000"/>
                <w:highlight w:val="none"/>
              </w:rPr>
            </w:pPr>
            <w:r>
              <w:rPr>
                <w:color w:val="000000"/>
                <w:highlight w:val="none"/>
              </w:rPr>
              <w:t>Weather Conditions</w:t>
            </w:r>
          </w:p>
        </w:tc>
      </w:tr>
      <w:tr w14:paraId="6E34F14A">
        <w:trPr>
          <w:jc w:val="center"/>
        </w:trPr>
        <w:tc>
          <w:tcPr>
            <w:tcW w:w="1134" w:type="dxa"/>
          </w:tcPr>
          <w:p w14:paraId="0BD37599">
            <w:pPr>
              <w:spacing w:before="0" w:after="0"/>
              <w:jc w:val="center"/>
              <w:rPr>
                <w:color w:val="000000"/>
                <w:highlight w:val="none"/>
              </w:rPr>
            </w:pPr>
            <w:r>
              <w:rPr>
                <w:color w:val="000000"/>
                <w:highlight w:val="none"/>
              </w:rPr>
              <w:t>28º</w:t>
            </w:r>
          </w:p>
        </w:tc>
        <w:tc>
          <w:tcPr>
            <w:tcW w:w="993" w:type="dxa"/>
          </w:tcPr>
          <w:p w14:paraId="4A53377D">
            <w:pPr>
              <w:spacing w:before="0" w:after="0"/>
              <w:jc w:val="center"/>
              <w:rPr>
                <w:color w:val="000000"/>
                <w:highlight w:val="none"/>
              </w:rPr>
            </w:pPr>
            <w:r>
              <w:rPr>
                <w:color w:val="000000"/>
                <w:highlight w:val="none"/>
              </w:rPr>
              <w:t>33 %</w:t>
            </w:r>
          </w:p>
        </w:tc>
        <w:tc>
          <w:tcPr>
            <w:tcW w:w="1559" w:type="dxa"/>
          </w:tcPr>
          <w:p w14:paraId="75848622">
            <w:pPr>
              <w:spacing w:before="0" w:after="0"/>
              <w:jc w:val="center"/>
              <w:rPr>
                <w:color w:val="000000"/>
                <w:highlight w:val="none"/>
              </w:rPr>
            </w:pPr>
            <w:r>
              <w:rPr>
                <w:color w:val="000000"/>
                <w:highlight w:val="none"/>
              </w:rPr>
              <w:t>1003.73 HPa</w:t>
            </w:r>
          </w:p>
        </w:tc>
        <w:tc>
          <w:tcPr>
            <w:tcW w:w="1134" w:type="dxa"/>
          </w:tcPr>
          <w:p w14:paraId="781AAA61">
            <w:pPr>
              <w:spacing w:before="0" w:after="0"/>
              <w:jc w:val="center"/>
              <w:rPr>
                <w:color w:val="000000"/>
                <w:highlight w:val="none"/>
              </w:rPr>
            </w:pPr>
            <w:r>
              <w:rPr>
                <w:color w:val="000000"/>
                <w:highlight w:val="none"/>
              </w:rPr>
              <w:t>14 Km/h</w:t>
            </w:r>
          </w:p>
        </w:tc>
        <w:tc>
          <w:tcPr>
            <w:tcW w:w="709" w:type="dxa"/>
          </w:tcPr>
          <w:p w14:paraId="320737F6">
            <w:pPr>
              <w:spacing w:before="0" w:after="0"/>
              <w:jc w:val="center"/>
              <w:rPr>
                <w:color w:val="000000"/>
                <w:highlight w:val="none"/>
              </w:rPr>
            </w:pPr>
            <w:r>
              <w:rPr>
                <w:color w:val="000000"/>
                <w:highlight w:val="none"/>
              </w:rPr>
              <w:t>SO</w:t>
            </w:r>
          </w:p>
        </w:tc>
        <w:tc>
          <w:tcPr>
            <w:tcW w:w="834" w:type="dxa"/>
          </w:tcPr>
          <w:p w14:paraId="59FAA16C">
            <w:pPr>
              <w:spacing w:before="0" w:after="0"/>
              <w:jc w:val="center"/>
              <w:rPr>
                <w:color w:val="000000"/>
                <w:highlight w:val="none"/>
              </w:rPr>
            </w:pPr>
            <w:r>
              <w:rPr>
                <w:color w:val="000000"/>
                <w:highlight w:val="none"/>
              </w:rPr>
              <w:t>9 Km/h</w:t>
            </w:r>
          </w:p>
        </w:tc>
        <w:tc>
          <w:tcPr>
            <w:tcW w:w="1008" w:type="dxa"/>
          </w:tcPr>
          <w:p w14:paraId="7F0F89E4">
            <w:pPr>
              <w:spacing w:before="0" w:after="0"/>
              <w:jc w:val="center"/>
              <w:rPr>
                <w:color w:val="000000"/>
                <w:highlight w:val="none"/>
              </w:rPr>
            </w:pPr>
            <w:r>
              <w:rPr>
                <w:color w:val="000000"/>
                <w:highlight w:val="none"/>
              </w:rPr>
              <w:t>N/A</w:t>
            </w:r>
          </w:p>
        </w:tc>
        <w:tc>
          <w:tcPr>
            <w:tcW w:w="1276" w:type="dxa"/>
          </w:tcPr>
          <w:p w14:paraId="1229F1FB">
            <w:pPr>
              <w:spacing w:before="0" w:after="0"/>
              <w:jc w:val="center"/>
              <w:rPr>
                <w:color w:val="000000"/>
                <w:highlight w:val="none"/>
              </w:rPr>
            </w:pPr>
            <w:r>
              <w:rPr>
                <w:color w:val="000000"/>
                <w:highlight w:val="none"/>
              </w:rPr>
              <w:t>Partly cloudy</w:t>
            </w:r>
          </w:p>
        </w:tc>
      </w:tr>
    </w:tbl>
    <w:p w14:paraId="00198C30">
      <w:pPr>
        <w:pBdr>
          <w:top w:val="none" w:color="auto" w:sz="0" w:space="0"/>
          <w:left w:val="none" w:color="auto" w:sz="0" w:space="0"/>
          <w:bottom w:val="none" w:color="auto" w:sz="0" w:space="0"/>
          <w:right w:val="none" w:color="auto" w:sz="0" w:space="0"/>
          <w:between w:val="none" w:color="auto" w:sz="0" w:space="0"/>
        </w:pBdr>
        <w:spacing w:after="0"/>
        <w:rPr>
          <w:color w:val="000000"/>
          <w:highlight w:val="none"/>
          <w:u w:val="single"/>
        </w:rPr>
      </w:pPr>
      <w:r>
        <w:rPr>
          <w:color w:val="000000"/>
          <w:highlight w:val="none"/>
          <w:u w:val="single"/>
        </w:rPr>
        <w:t>RESULTS</w:t>
      </w:r>
    </w:p>
    <w:p w14:paraId="6F23BAEB">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The results obtained are presented below:</w:t>
      </w:r>
    </w:p>
    <w:tbl>
      <w:tblPr>
        <w:tblStyle w:val="12"/>
        <w:tblW w:w="85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4"/>
        <w:gridCol w:w="1134"/>
        <w:gridCol w:w="1134"/>
        <w:gridCol w:w="1275"/>
        <w:gridCol w:w="1134"/>
        <w:gridCol w:w="993"/>
        <w:gridCol w:w="992"/>
      </w:tblGrid>
      <w:tr w14:paraId="0018E229">
        <w:tc>
          <w:tcPr>
            <w:tcW w:w="1844" w:type="dxa"/>
          </w:tcPr>
          <w:p w14:paraId="48C6AD07">
            <w:pPr>
              <w:spacing w:before="0" w:after="0"/>
              <w:rPr>
                <w:color w:val="000000"/>
                <w:highlight w:val="none"/>
              </w:rPr>
            </w:pPr>
            <w:r>
              <w:rPr>
                <w:color w:val="000000"/>
                <w:highlight w:val="none"/>
              </w:rPr>
              <w:t>PARAMETERS</w:t>
            </w:r>
          </w:p>
        </w:tc>
        <w:tc>
          <w:tcPr>
            <w:tcW w:w="1134" w:type="dxa"/>
          </w:tcPr>
          <w:p w14:paraId="08E8BD23">
            <w:pPr>
              <w:spacing w:before="0" w:after="0"/>
              <w:rPr>
                <w:color w:val="000000"/>
                <w:highlight w:val="none"/>
              </w:rPr>
            </w:pPr>
            <w:r>
              <w:rPr>
                <w:color w:val="000000"/>
                <w:highlight w:val="none"/>
              </w:rPr>
              <w:t>Point 1</w:t>
            </w:r>
          </w:p>
          <w:p w14:paraId="63ACA827">
            <w:pPr>
              <w:spacing w:before="0" w:after="0"/>
              <w:rPr>
                <w:color w:val="000000"/>
                <w:highlight w:val="none"/>
              </w:rPr>
            </w:pPr>
            <w:r>
              <w:rPr>
                <w:color w:val="000000"/>
                <w:highlight w:val="none"/>
              </w:rPr>
              <w:t>CA-01</w:t>
            </w:r>
          </w:p>
        </w:tc>
        <w:tc>
          <w:tcPr>
            <w:tcW w:w="1134" w:type="dxa"/>
          </w:tcPr>
          <w:p w14:paraId="71BBC219">
            <w:pPr>
              <w:spacing w:before="0" w:after="0"/>
              <w:rPr>
                <w:color w:val="000000"/>
                <w:highlight w:val="none"/>
              </w:rPr>
            </w:pPr>
            <w:r>
              <w:rPr>
                <w:color w:val="000000"/>
                <w:highlight w:val="none"/>
              </w:rPr>
              <w:t>Point 2</w:t>
            </w:r>
          </w:p>
          <w:p w14:paraId="4B12226E">
            <w:pPr>
              <w:spacing w:before="0" w:after="0"/>
              <w:rPr>
                <w:color w:val="000000"/>
                <w:highlight w:val="none"/>
              </w:rPr>
            </w:pPr>
            <w:r>
              <w:rPr>
                <w:color w:val="000000"/>
                <w:highlight w:val="none"/>
              </w:rPr>
              <w:t>CA-02</w:t>
            </w:r>
          </w:p>
        </w:tc>
        <w:tc>
          <w:tcPr>
            <w:tcW w:w="1275" w:type="dxa"/>
          </w:tcPr>
          <w:p w14:paraId="11BFBECA">
            <w:pPr>
              <w:spacing w:before="0" w:after="0"/>
              <w:rPr>
                <w:color w:val="000000"/>
                <w:highlight w:val="none"/>
              </w:rPr>
            </w:pPr>
            <w:r>
              <w:rPr>
                <w:color w:val="000000"/>
                <w:highlight w:val="none"/>
              </w:rPr>
              <w:t>Point 3</w:t>
            </w:r>
          </w:p>
          <w:p w14:paraId="04070349">
            <w:pPr>
              <w:spacing w:before="0" w:after="0"/>
              <w:rPr>
                <w:color w:val="000000"/>
                <w:highlight w:val="none"/>
              </w:rPr>
            </w:pPr>
            <w:r>
              <w:rPr>
                <w:color w:val="000000"/>
                <w:highlight w:val="none"/>
              </w:rPr>
              <w:t>CA-03</w:t>
            </w:r>
          </w:p>
        </w:tc>
        <w:tc>
          <w:tcPr>
            <w:tcW w:w="1134" w:type="dxa"/>
          </w:tcPr>
          <w:p w14:paraId="1C15A7F7">
            <w:pPr>
              <w:spacing w:before="0" w:after="0"/>
              <w:rPr>
                <w:color w:val="000000"/>
                <w:highlight w:val="none"/>
              </w:rPr>
            </w:pPr>
            <w:r>
              <w:rPr>
                <w:color w:val="000000"/>
                <w:highlight w:val="none"/>
              </w:rPr>
              <w:t>Point 4</w:t>
            </w:r>
          </w:p>
          <w:p w14:paraId="05D97B29">
            <w:pPr>
              <w:spacing w:before="0" w:after="0"/>
              <w:rPr>
                <w:color w:val="000000"/>
                <w:highlight w:val="none"/>
              </w:rPr>
            </w:pPr>
            <w:r>
              <w:rPr>
                <w:color w:val="000000"/>
                <w:highlight w:val="none"/>
              </w:rPr>
              <w:t>CA-04</w:t>
            </w:r>
          </w:p>
        </w:tc>
        <w:tc>
          <w:tcPr>
            <w:tcW w:w="993" w:type="dxa"/>
          </w:tcPr>
          <w:p w14:paraId="035691DD">
            <w:pPr>
              <w:spacing w:before="0" w:after="0"/>
              <w:rPr>
                <w:color w:val="000000"/>
                <w:highlight w:val="none"/>
              </w:rPr>
            </w:pPr>
            <w:r>
              <w:rPr>
                <w:color w:val="000000"/>
                <w:highlight w:val="none"/>
              </w:rPr>
              <w:t>UNIT</w:t>
            </w:r>
          </w:p>
        </w:tc>
        <w:tc>
          <w:tcPr>
            <w:tcW w:w="992" w:type="dxa"/>
          </w:tcPr>
          <w:p w14:paraId="2B268714">
            <w:pPr>
              <w:spacing w:before="0" w:after="0"/>
              <w:rPr>
                <w:color w:val="000000"/>
                <w:highlight w:val="none"/>
              </w:rPr>
            </w:pPr>
            <w:r>
              <w:rPr>
                <w:color w:val="000000"/>
                <w:highlight w:val="none"/>
              </w:rPr>
              <w:t>Guide Level *</w:t>
            </w:r>
          </w:p>
        </w:tc>
      </w:tr>
      <w:tr w14:paraId="0FD03BA3">
        <w:tc>
          <w:tcPr>
            <w:tcW w:w="1844" w:type="dxa"/>
          </w:tcPr>
          <w:p w14:paraId="55A8F4D8">
            <w:pPr>
              <w:spacing w:before="0" w:after="0"/>
              <w:rPr>
                <w:color w:val="000000"/>
                <w:highlight w:val="none"/>
              </w:rPr>
            </w:pPr>
            <w:r>
              <w:rPr>
                <w:highlight w:val="none"/>
              </w:rPr>
              <w:t>particulate matter PM10</w:t>
            </w:r>
          </w:p>
        </w:tc>
        <w:tc>
          <w:tcPr>
            <w:tcW w:w="1134" w:type="dxa"/>
          </w:tcPr>
          <w:p w14:paraId="4DC5D3EB">
            <w:pPr>
              <w:spacing w:before="0" w:after="0"/>
              <w:rPr>
                <w:color w:val="000000"/>
                <w:highlight w:val="none"/>
              </w:rPr>
            </w:pPr>
            <w:r>
              <w:rPr>
                <w:color w:val="000000"/>
                <w:highlight w:val="none"/>
              </w:rPr>
              <w:t>0,07</w:t>
            </w:r>
          </w:p>
        </w:tc>
        <w:tc>
          <w:tcPr>
            <w:tcW w:w="1134" w:type="dxa"/>
          </w:tcPr>
          <w:p w14:paraId="395FB07E">
            <w:pPr>
              <w:spacing w:before="0" w:after="0"/>
              <w:rPr>
                <w:color w:val="000000"/>
                <w:highlight w:val="none"/>
              </w:rPr>
            </w:pPr>
            <w:r>
              <w:rPr>
                <w:color w:val="000000"/>
                <w:highlight w:val="none"/>
              </w:rPr>
              <w:t>0,11</w:t>
            </w:r>
          </w:p>
        </w:tc>
        <w:tc>
          <w:tcPr>
            <w:tcW w:w="1275" w:type="dxa"/>
          </w:tcPr>
          <w:p w14:paraId="2702AE9D">
            <w:pPr>
              <w:spacing w:before="0" w:after="0"/>
              <w:rPr>
                <w:color w:val="000000"/>
                <w:highlight w:val="none"/>
              </w:rPr>
            </w:pPr>
            <w:r>
              <w:rPr>
                <w:color w:val="000000"/>
                <w:highlight w:val="none"/>
              </w:rPr>
              <w:t>0,008</w:t>
            </w:r>
          </w:p>
        </w:tc>
        <w:tc>
          <w:tcPr>
            <w:tcW w:w="1134" w:type="dxa"/>
          </w:tcPr>
          <w:p w14:paraId="2CF17289">
            <w:pPr>
              <w:spacing w:before="0" w:after="0"/>
              <w:rPr>
                <w:color w:val="000000"/>
                <w:highlight w:val="none"/>
              </w:rPr>
            </w:pPr>
            <w:r>
              <w:rPr>
                <w:color w:val="000000"/>
                <w:highlight w:val="none"/>
              </w:rPr>
              <w:t>0,007</w:t>
            </w:r>
          </w:p>
        </w:tc>
        <w:tc>
          <w:tcPr>
            <w:tcW w:w="993" w:type="dxa"/>
          </w:tcPr>
          <w:p w14:paraId="45C3BFC5">
            <w:pPr>
              <w:spacing w:before="0" w:after="0"/>
              <w:rPr>
                <w:color w:val="000000"/>
                <w:highlight w:val="none"/>
              </w:rPr>
            </w:pPr>
            <w:r>
              <w:rPr>
                <w:highlight w:val="none"/>
              </w:rPr>
              <w:t>mg/m</w:t>
            </w:r>
            <w:r>
              <w:rPr>
                <w:highlight w:val="none"/>
                <w:vertAlign w:val="superscript"/>
              </w:rPr>
              <w:t>3</w:t>
            </w:r>
          </w:p>
        </w:tc>
        <w:tc>
          <w:tcPr>
            <w:tcW w:w="992" w:type="dxa"/>
          </w:tcPr>
          <w:p w14:paraId="01A0C5C8">
            <w:pPr>
              <w:spacing w:before="0" w:after="0"/>
              <w:rPr>
                <w:color w:val="000000"/>
                <w:highlight w:val="none"/>
              </w:rPr>
            </w:pPr>
            <w:r>
              <w:rPr>
                <w:color w:val="000000"/>
                <w:highlight w:val="none"/>
              </w:rPr>
              <w:t>0,50</w:t>
            </w:r>
          </w:p>
        </w:tc>
      </w:tr>
      <w:tr w14:paraId="7C4A4C02">
        <w:tc>
          <w:tcPr>
            <w:tcW w:w="1844" w:type="dxa"/>
          </w:tcPr>
          <w:p w14:paraId="428C959C">
            <w:pPr>
              <w:spacing w:before="0" w:after="0"/>
              <w:rPr>
                <w:color w:val="000000"/>
                <w:highlight w:val="none"/>
              </w:rPr>
            </w:pPr>
            <w:r>
              <w:rPr>
                <w:highlight w:val="none"/>
              </w:rPr>
              <w:t>Hydrogen sulfide (H</w:t>
            </w:r>
            <w:r>
              <w:rPr>
                <w:highlight w:val="none"/>
                <w:vertAlign w:val="subscript"/>
              </w:rPr>
              <w:t>2</w:t>
            </w:r>
            <w:r>
              <w:rPr>
                <w:highlight w:val="none"/>
              </w:rPr>
              <w:t>S)</w:t>
            </w:r>
          </w:p>
        </w:tc>
        <w:tc>
          <w:tcPr>
            <w:tcW w:w="1134" w:type="dxa"/>
          </w:tcPr>
          <w:p w14:paraId="26546C42">
            <w:pPr>
              <w:spacing w:before="0" w:after="0"/>
              <w:rPr>
                <w:color w:val="000000"/>
                <w:highlight w:val="none"/>
              </w:rPr>
            </w:pPr>
            <w:r>
              <w:rPr>
                <w:color w:val="000000"/>
                <w:highlight w:val="none"/>
              </w:rPr>
              <w:t>Not detected</w:t>
            </w:r>
          </w:p>
        </w:tc>
        <w:tc>
          <w:tcPr>
            <w:tcW w:w="1134" w:type="dxa"/>
          </w:tcPr>
          <w:p w14:paraId="0FC9F566">
            <w:pPr>
              <w:spacing w:before="0" w:after="0"/>
              <w:rPr>
                <w:color w:val="000000"/>
                <w:highlight w:val="none"/>
              </w:rPr>
            </w:pPr>
            <w:r>
              <w:rPr>
                <w:color w:val="000000"/>
                <w:highlight w:val="none"/>
              </w:rPr>
              <w:t>Not detected</w:t>
            </w:r>
          </w:p>
        </w:tc>
        <w:tc>
          <w:tcPr>
            <w:tcW w:w="1275" w:type="dxa"/>
          </w:tcPr>
          <w:p w14:paraId="51D8003A">
            <w:pPr>
              <w:spacing w:before="0" w:after="0"/>
              <w:rPr>
                <w:color w:val="000000"/>
                <w:highlight w:val="none"/>
              </w:rPr>
            </w:pPr>
            <w:r>
              <w:rPr>
                <w:color w:val="000000"/>
                <w:highlight w:val="none"/>
              </w:rPr>
              <w:t>Not detected</w:t>
            </w:r>
          </w:p>
        </w:tc>
        <w:tc>
          <w:tcPr>
            <w:tcW w:w="1134" w:type="dxa"/>
          </w:tcPr>
          <w:p w14:paraId="668D976C">
            <w:pPr>
              <w:spacing w:before="0" w:after="0"/>
              <w:rPr>
                <w:color w:val="000000"/>
                <w:highlight w:val="none"/>
              </w:rPr>
            </w:pPr>
            <w:r>
              <w:rPr>
                <w:color w:val="000000"/>
                <w:highlight w:val="none"/>
              </w:rPr>
              <w:t>Not detected</w:t>
            </w:r>
          </w:p>
        </w:tc>
        <w:tc>
          <w:tcPr>
            <w:tcW w:w="993" w:type="dxa"/>
          </w:tcPr>
          <w:p w14:paraId="60F6E8B8">
            <w:pPr>
              <w:spacing w:before="0" w:after="0"/>
              <w:rPr>
                <w:color w:val="000000"/>
                <w:highlight w:val="none"/>
              </w:rPr>
            </w:pPr>
            <w:r>
              <w:rPr>
                <w:highlight w:val="none"/>
              </w:rPr>
              <w:t>mg/m</w:t>
            </w:r>
            <w:r>
              <w:rPr>
                <w:highlight w:val="none"/>
                <w:vertAlign w:val="superscript"/>
              </w:rPr>
              <w:t>3</w:t>
            </w:r>
          </w:p>
        </w:tc>
        <w:tc>
          <w:tcPr>
            <w:tcW w:w="992" w:type="dxa"/>
          </w:tcPr>
          <w:p w14:paraId="7B4AB68D">
            <w:pPr>
              <w:spacing w:before="0" w:after="0"/>
              <w:rPr>
                <w:color w:val="000000"/>
                <w:highlight w:val="none"/>
              </w:rPr>
            </w:pPr>
            <w:r>
              <w:rPr>
                <w:color w:val="000000"/>
                <w:highlight w:val="none"/>
              </w:rPr>
              <w:t>-</w:t>
            </w:r>
          </w:p>
        </w:tc>
      </w:tr>
    </w:tbl>
    <w:p w14:paraId="4952F49E">
      <w:pPr>
        <w:pBdr>
          <w:top w:val="none" w:color="auto" w:sz="0" w:space="0"/>
          <w:left w:val="none" w:color="auto" w:sz="0" w:space="0"/>
          <w:bottom w:val="none" w:color="auto" w:sz="0" w:space="0"/>
          <w:right w:val="none" w:color="auto" w:sz="0" w:space="0"/>
          <w:between w:val="none" w:color="auto" w:sz="0" w:space="0"/>
        </w:pBdr>
        <w:rPr>
          <w:i/>
          <w:iCs/>
          <w:color w:val="000000"/>
          <w:sz w:val="20"/>
          <w:szCs w:val="20"/>
          <w:highlight w:val="none"/>
        </w:rPr>
      </w:pPr>
      <w:r>
        <w:rPr>
          <w:i/>
          <w:iCs/>
          <w:color w:val="000000"/>
          <w:sz w:val="20"/>
          <w:szCs w:val="20"/>
          <w:highlight w:val="none"/>
        </w:rPr>
        <w:t>* NOTE: Analysis Protocol No. 2254-2255-2256-2257 issued by the HSE Laboratory is attached.</w:t>
      </w:r>
    </w:p>
    <w:p w14:paraId="0E7F3009">
      <w:pPr>
        <w:pBdr>
          <w:top w:val="none" w:color="auto" w:sz="0" w:space="0"/>
          <w:left w:val="none" w:color="auto" w:sz="0" w:space="0"/>
          <w:bottom w:val="none" w:color="auto" w:sz="0" w:space="0"/>
          <w:right w:val="none" w:color="auto" w:sz="0" w:space="0"/>
          <w:between w:val="none" w:color="auto" w:sz="0" w:space="0"/>
        </w:pBdr>
        <w:rPr>
          <w:color w:val="000000"/>
          <w:highlight w:val="none"/>
          <w:u w:val="single"/>
        </w:rPr>
      </w:pPr>
      <w:r>
        <w:rPr>
          <w:color w:val="000000"/>
          <w:highlight w:val="none"/>
          <w:u w:val="single"/>
        </w:rPr>
        <w:t>CONCLUSION</w:t>
      </w:r>
    </w:p>
    <w:p w14:paraId="40628C8E">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In accordance with the provisions of Resolution 201/04 of the Secretary of the Environment of the Province of Santa Fe, all the monitoring points of the Plant belonging to the company Worms Argentina S.A. - from the town of Arroyo Seco - COMPLY with the guide values established as maximum concentration in short periods (C.A.P.C.), for all the parameters analyzed: Suspended Particulate Matter and Hydrogen Sulfide (H2S).</w:t>
      </w:r>
    </w:p>
    <w:p w14:paraId="2C8B8FF0">
      <w:pPr>
        <w:pBdr>
          <w:top w:val="none" w:color="auto" w:sz="0" w:space="0"/>
          <w:left w:val="none" w:color="auto" w:sz="0" w:space="0"/>
          <w:bottom w:val="none" w:color="auto" w:sz="0" w:space="0"/>
          <w:right w:val="none" w:color="auto" w:sz="0" w:space="0"/>
          <w:between w:val="none" w:color="auto" w:sz="0" w:space="0"/>
        </w:pBdr>
        <w:rPr>
          <w:color w:val="000000"/>
          <w:highlight w:val="none"/>
        </w:rPr>
      </w:pPr>
    </w:p>
    <w:p w14:paraId="1FB701C6">
      <w:pPr>
        <w:pBdr>
          <w:top w:val="none" w:color="auto" w:sz="0" w:space="0"/>
          <w:left w:val="none" w:color="auto" w:sz="0" w:space="0"/>
          <w:bottom w:val="none" w:color="auto" w:sz="0" w:space="0"/>
          <w:right w:val="none" w:color="auto" w:sz="0" w:space="0"/>
          <w:between w:val="none" w:color="auto" w:sz="0" w:space="0"/>
        </w:pBdr>
        <w:rPr>
          <w:b/>
          <w:bCs/>
          <w:color w:val="000000"/>
          <w:highlight w:val="none"/>
        </w:rPr>
      </w:pPr>
      <w:r>
        <w:rPr>
          <w:b/>
          <w:bCs/>
          <w:color w:val="000000"/>
          <w:highlight w:val="none"/>
        </w:rPr>
        <w:t>WATER QUALITY ANALYSIS</w:t>
      </w:r>
    </w:p>
    <w:p w14:paraId="4ACBC8C5">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Worms Argentina S.A has prepared a report with the objective of determine and evaluate the concentration of the following parameters in the effluent: pH, color, conductivity, turbidity, solids in total suspension, bod, cod, total coliforms and fecal coliforms.</w:t>
      </w:r>
    </w:p>
    <w:p w14:paraId="06E1FE1E">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This report was prepared based on the results obtained from the monitoring carried out at the request of Worms Argentina S.A – Dry Creek (Sta. Fe). The work has been carried out under standardized procedures, by trained personnel and through the use of equipment and instruments developed for this purpose. HSE Engineering guarantees the veracity of the information contained in this document and its confidentiality.</w:t>
      </w:r>
    </w:p>
    <w:p w14:paraId="26DE827E">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The analytical determinations to which the water samples obtained from the monitored wells were subjected were selected as required by Law 11,220 Annex A, identical parameters and limits established in Provincial Resolution No. 1089/82 Annex A (Limits for the provision of drinking water).</w:t>
      </w:r>
    </w:p>
    <w:p w14:paraId="4140DB17">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Said law provides for the regulation of service provision and provides for a system for the preservation of natural resources and the environment.</w:t>
      </w:r>
    </w:p>
    <w:p w14:paraId="7021C77C">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The purposes of this law are to guarantee the maintenance and promote the rehabilitation, improvement and development of the service throughout the province of Santa Fe, to establish the standards that ensure quality and efficiency levels consistent with the nature of the service, to establish an adequate legal framework that allows reconciling an efficient and effective provision of the service by providers, with the proper exercise of state powers related to the protection of the health interest, the welfare of the population, and the environment and natural resources throughout the province of Santa Fe.</w:t>
      </w:r>
    </w:p>
    <w:p w14:paraId="5AEEE0D9">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The sampling methodology used is that recommended in the manual of Standardized Methods for the Analysis of Potable and Residual Water published by the APHA-AWWA-WEF1, 23rd edition.</w:t>
      </w:r>
    </w:p>
    <w:p w14:paraId="1934C7F7">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All analytical determinations are performed using international standardized methods.</w:t>
      </w:r>
    </w:p>
    <w:p w14:paraId="18E80E1F">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Methods from the manual of Standardized Methods for the Analysis of Drinking and Wastewater published by the APHA-AWWA-WEF, 23rd edition, together with the EPA 481.1 standard, are currently used.</w:t>
      </w:r>
    </w:p>
    <w:p w14:paraId="1972885E">
      <w:pPr>
        <w:pBdr>
          <w:top w:val="none" w:color="auto" w:sz="0" w:space="0"/>
          <w:left w:val="none" w:color="auto" w:sz="0" w:space="0"/>
          <w:bottom w:val="none" w:color="auto" w:sz="0" w:space="0"/>
          <w:right w:val="none" w:color="auto" w:sz="0" w:space="0"/>
          <w:between w:val="none" w:color="auto" w:sz="0" w:space="0"/>
        </w:pBdr>
        <w:rPr>
          <w:color w:val="000000"/>
          <w:highlight w:val="none"/>
          <w:u w:val="single"/>
        </w:rPr>
      </w:pPr>
      <w:r>
        <w:rPr>
          <w:color w:val="000000"/>
          <w:highlight w:val="none"/>
          <w:u w:val="single"/>
        </w:rPr>
        <w:t>MONITORING DESCRIPTION</w:t>
      </w:r>
    </w:p>
    <w:p w14:paraId="6E837EDF">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 xml:space="preserve">The sampling was carried out in the corresponding phreatic wells that the company has for this purpose. It was only possible to take samples from wells 1, 2, 6, 7 and 8, since the rest of the </w:t>
      </w:r>
      <w:r>
        <w:rPr>
          <w:highlight w:val="none"/>
        </w:rPr>
        <w:t>parameters</w:t>
      </w:r>
      <w:r>
        <w:rPr>
          <w:color w:val="000000"/>
          <w:highlight w:val="none"/>
        </w:rPr>
        <w:t xml:space="preserve"> were dry.</w:t>
      </w:r>
      <w:r>
        <w:rPr>
          <w:rFonts w:hint="default"/>
          <w:color w:val="000000"/>
          <w:highlight w:val="none"/>
          <w:lang w:val="es-ES"/>
        </w:rPr>
        <w:t xml:space="preserve"> </w:t>
      </w:r>
      <w:r>
        <w:rPr>
          <w:color w:val="000000"/>
          <w:highlight w:val="none"/>
        </w:rPr>
        <w:t>The following image shows the location of the water meters on the property, with their respective coordinates:</w:t>
      </w:r>
    </w:p>
    <w:p w14:paraId="45A732A3">
      <w:pPr>
        <w:pBdr>
          <w:top w:val="none" w:color="auto" w:sz="0" w:space="0"/>
          <w:left w:val="none" w:color="auto" w:sz="0" w:space="0"/>
          <w:bottom w:val="none" w:color="auto" w:sz="0" w:space="0"/>
          <w:right w:val="none" w:color="auto" w:sz="0" w:space="0"/>
          <w:between w:val="none" w:color="auto" w:sz="0" w:space="0"/>
        </w:pBdr>
        <w:spacing w:before="0" w:after="0"/>
        <w:jc w:val="center"/>
        <w:rPr>
          <w:color w:val="000000"/>
          <w:highlight w:val="none"/>
        </w:rPr>
      </w:pPr>
      <w:r>
        <w:rPr>
          <w:highlight w:val="none"/>
          <w:lang w:eastAsia="es-ES"/>
        </w:rPr>
        <w:drawing>
          <wp:inline distT="0" distB="0" distL="0" distR="0">
            <wp:extent cx="2921635" cy="1679575"/>
            <wp:effectExtent l="0" t="0" r="0" b="0"/>
            <wp:docPr id="5175" name="image1.jpg" descr="Imagen que contiene electrónica, circuito&#10;&#10;Descripción generada automáticamente"/>
            <wp:cNvGraphicFramePr/>
            <a:graphic xmlns:a="http://schemas.openxmlformats.org/drawingml/2006/main">
              <a:graphicData uri="http://schemas.openxmlformats.org/drawingml/2006/picture">
                <pic:pic xmlns:pic="http://schemas.openxmlformats.org/drawingml/2006/picture">
                  <pic:nvPicPr>
                    <pic:cNvPr id="5175" name="image1.jpg" descr="Imagen que contiene electrónica, circuito&#10;&#10;Descripción generada automáticamente"/>
                    <pic:cNvPicPr preferRelativeResize="0"/>
                  </pic:nvPicPr>
                  <pic:blipFill>
                    <a:blip r:embed="rId18"/>
                    <a:srcRect/>
                    <a:stretch>
                      <a:fillRect/>
                    </a:stretch>
                  </pic:blipFill>
                  <pic:spPr>
                    <a:xfrm>
                      <a:off x="0" y="0"/>
                      <a:ext cx="2941732" cy="1691276"/>
                    </a:xfrm>
                    <a:prstGeom prst="rect">
                      <a:avLst/>
                    </a:prstGeom>
                  </pic:spPr>
                </pic:pic>
              </a:graphicData>
            </a:graphic>
          </wp:inline>
        </w:drawing>
      </w:r>
      <w:r>
        <w:rPr>
          <w:highlight w:val="none"/>
          <w:lang w:eastAsia="es-ES"/>
        </w:rPr>
        <w:drawing>
          <wp:inline distT="0" distB="0" distL="0" distR="0">
            <wp:extent cx="2459355" cy="1680845"/>
            <wp:effectExtent l="0" t="0" r="4445" b="0"/>
            <wp:docPr id="5177" name="image16.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5177" name="image16.jpg" descr="Tabla&#10;&#10;Descripción generada automáticamente"/>
                    <pic:cNvPicPr preferRelativeResize="0"/>
                  </pic:nvPicPr>
                  <pic:blipFill>
                    <a:blip r:embed="rId19"/>
                    <a:srcRect/>
                    <a:stretch>
                      <a:fillRect/>
                    </a:stretch>
                  </pic:blipFill>
                  <pic:spPr>
                    <a:xfrm>
                      <a:off x="0" y="0"/>
                      <a:ext cx="2502694" cy="1710420"/>
                    </a:xfrm>
                    <a:prstGeom prst="rect">
                      <a:avLst/>
                    </a:prstGeom>
                  </pic:spPr>
                </pic:pic>
              </a:graphicData>
            </a:graphic>
          </wp:inline>
        </w:drawing>
      </w:r>
    </w:p>
    <w:p w14:paraId="64A26078">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color w:val="000000"/>
          <w:highlight w:val="none"/>
          <w:lang w:val="es-ES" w:eastAsia="es-ES"/>
        </w:rPr>
      </w:pPr>
      <w:r>
        <w:rPr>
          <w:rFonts w:hint="default"/>
          <w:i/>
          <w:iCs/>
          <w:sz w:val="20"/>
          <w:szCs w:val="20"/>
          <w:highlight w:val="none"/>
          <w:lang w:val="en-US"/>
        </w:rPr>
        <w:t xml:space="preserve">Figure </w:t>
      </w:r>
      <w:r>
        <w:rPr>
          <w:rFonts w:hint="default"/>
          <w:i/>
          <w:iCs/>
          <w:sz w:val="20"/>
          <w:szCs w:val="20"/>
          <w:highlight w:val="none"/>
          <w:lang w:val="es-ES"/>
        </w:rPr>
        <w:t>5.</w:t>
      </w:r>
      <w:r>
        <w:rPr>
          <w:rFonts w:hint="default"/>
          <w:i/>
          <w:iCs/>
          <w:sz w:val="20"/>
          <w:szCs w:val="20"/>
          <w:highlight w:val="none"/>
          <w:lang w:val="en-US"/>
        </w:rPr>
        <w:t xml:space="preserve"> </w:t>
      </w:r>
      <w:r>
        <w:rPr>
          <w:rFonts w:hint="default"/>
          <w:i/>
          <w:iCs/>
          <w:sz w:val="20"/>
          <w:szCs w:val="20"/>
          <w:highlight w:val="none"/>
          <w:lang w:val="es-ES"/>
        </w:rPr>
        <w:t>Location of the water meters on the property and theirs respective coordinates. Source: Google Earth.</w:t>
      </w:r>
    </w:p>
    <w:p w14:paraId="3A4E7A58">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The sampling was carried out on 11/04/2021.</w:t>
      </w:r>
    </w:p>
    <w:p w14:paraId="106FF150">
      <w:pPr>
        <w:pBdr>
          <w:top w:val="none" w:color="auto" w:sz="0" w:space="0"/>
          <w:left w:val="none" w:color="auto" w:sz="0" w:space="0"/>
          <w:bottom w:val="none" w:color="auto" w:sz="0" w:space="0"/>
          <w:right w:val="none" w:color="auto" w:sz="0" w:space="0"/>
          <w:between w:val="none" w:color="auto" w:sz="0" w:space="0"/>
        </w:pBdr>
        <w:rPr>
          <w:color w:val="000000"/>
          <w:highlight w:val="none"/>
          <w:u w:val="single"/>
        </w:rPr>
      </w:pPr>
      <w:r>
        <w:rPr>
          <w:color w:val="000000"/>
          <w:highlight w:val="none"/>
          <w:u w:val="single"/>
        </w:rPr>
        <w:t>RESULTS</w:t>
      </w:r>
    </w:p>
    <w:p w14:paraId="31893A18">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The results obtained by the analysis laboratory are presented below:</w:t>
      </w:r>
    </w:p>
    <w:tbl>
      <w:tblPr>
        <w:tblStyle w:val="12"/>
        <w:tblW w:w="86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6"/>
        <w:gridCol w:w="709"/>
        <w:gridCol w:w="1417"/>
        <w:gridCol w:w="709"/>
        <w:gridCol w:w="709"/>
        <w:gridCol w:w="709"/>
        <w:gridCol w:w="708"/>
        <w:gridCol w:w="773"/>
        <w:gridCol w:w="787"/>
      </w:tblGrid>
      <w:tr w14:paraId="69BE0C72">
        <w:trPr>
          <w:trHeight w:val="536" w:hRule="atLeast"/>
          <w:jc w:val="center"/>
        </w:trPr>
        <w:tc>
          <w:tcPr>
            <w:tcW w:w="2126" w:type="dxa"/>
            <w:vAlign w:val="center"/>
          </w:tcPr>
          <w:p w14:paraId="78866EC0">
            <w:pPr>
              <w:spacing w:before="0" w:after="0"/>
              <w:jc w:val="center"/>
              <w:rPr>
                <w:highlight w:val="none"/>
              </w:rPr>
            </w:pPr>
            <w:r>
              <w:rPr>
                <w:highlight w:val="none"/>
              </w:rPr>
              <w:t>PARAMETERS</w:t>
            </w:r>
          </w:p>
        </w:tc>
        <w:tc>
          <w:tcPr>
            <w:tcW w:w="709" w:type="dxa"/>
            <w:vAlign w:val="center"/>
          </w:tcPr>
          <w:p w14:paraId="5853B941">
            <w:pPr>
              <w:spacing w:before="0" w:after="0"/>
              <w:jc w:val="center"/>
              <w:rPr>
                <w:highlight w:val="none"/>
              </w:rPr>
            </w:pPr>
            <w:r>
              <w:rPr>
                <w:highlight w:val="none"/>
              </w:rPr>
              <w:t>LC</w:t>
            </w:r>
          </w:p>
        </w:tc>
        <w:tc>
          <w:tcPr>
            <w:tcW w:w="1417" w:type="dxa"/>
            <w:vAlign w:val="center"/>
          </w:tcPr>
          <w:p w14:paraId="1EF6D60C">
            <w:pPr>
              <w:spacing w:before="0" w:after="0"/>
              <w:jc w:val="center"/>
              <w:rPr>
                <w:highlight w:val="none"/>
              </w:rPr>
            </w:pPr>
            <w:r>
              <w:rPr>
                <w:highlight w:val="none"/>
              </w:rPr>
              <w:t>UNIT</w:t>
            </w:r>
          </w:p>
        </w:tc>
        <w:tc>
          <w:tcPr>
            <w:tcW w:w="709" w:type="dxa"/>
            <w:vAlign w:val="center"/>
          </w:tcPr>
          <w:p w14:paraId="7E7E3F41">
            <w:pPr>
              <w:spacing w:before="0" w:after="0"/>
              <w:jc w:val="center"/>
              <w:rPr>
                <w:highlight w:val="none"/>
              </w:rPr>
            </w:pPr>
            <w:r>
              <w:rPr>
                <w:highlight w:val="none"/>
              </w:rPr>
              <w:t>P1</w:t>
            </w:r>
          </w:p>
        </w:tc>
        <w:tc>
          <w:tcPr>
            <w:tcW w:w="709" w:type="dxa"/>
            <w:vAlign w:val="center"/>
          </w:tcPr>
          <w:p w14:paraId="4C4DA9F5">
            <w:pPr>
              <w:spacing w:before="0" w:after="0"/>
              <w:jc w:val="center"/>
              <w:rPr>
                <w:highlight w:val="none"/>
              </w:rPr>
            </w:pPr>
            <w:r>
              <w:rPr>
                <w:highlight w:val="none"/>
              </w:rPr>
              <w:t>P2</w:t>
            </w:r>
          </w:p>
        </w:tc>
        <w:tc>
          <w:tcPr>
            <w:tcW w:w="709" w:type="dxa"/>
            <w:vAlign w:val="center"/>
          </w:tcPr>
          <w:p w14:paraId="5A7DF3E5">
            <w:pPr>
              <w:spacing w:before="0" w:after="0"/>
              <w:jc w:val="center"/>
              <w:rPr>
                <w:highlight w:val="none"/>
              </w:rPr>
            </w:pPr>
            <w:r>
              <w:rPr>
                <w:highlight w:val="none"/>
              </w:rPr>
              <w:t>P6</w:t>
            </w:r>
          </w:p>
        </w:tc>
        <w:tc>
          <w:tcPr>
            <w:tcW w:w="708" w:type="dxa"/>
            <w:vAlign w:val="center"/>
          </w:tcPr>
          <w:p w14:paraId="2D027481">
            <w:pPr>
              <w:spacing w:before="0" w:after="0"/>
              <w:jc w:val="center"/>
              <w:rPr>
                <w:highlight w:val="none"/>
              </w:rPr>
            </w:pPr>
            <w:r>
              <w:rPr>
                <w:highlight w:val="none"/>
              </w:rPr>
              <w:t>P7</w:t>
            </w:r>
          </w:p>
        </w:tc>
        <w:tc>
          <w:tcPr>
            <w:tcW w:w="773" w:type="dxa"/>
            <w:vAlign w:val="center"/>
          </w:tcPr>
          <w:p w14:paraId="523C4A4F">
            <w:pPr>
              <w:spacing w:before="0" w:after="0"/>
              <w:jc w:val="center"/>
              <w:rPr>
                <w:highlight w:val="none"/>
              </w:rPr>
            </w:pPr>
            <w:r>
              <w:rPr>
                <w:highlight w:val="none"/>
              </w:rPr>
              <w:t>P8</w:t>
            </w:r>
          </w:p>
        </w:tc>
        <w:tc>
          <w:tcPr>
            <w:tcW w:w="787" w:type="dxa"/>
            <w:vAlign w:val="center"/>
          </w:tcPr>
          <w:p w14:paraId="6DFBA38B">
            <w:pPr>
              <w:spacing w:before="0" w:after="0"/>
              <w:jc w:val="center"/>
              <w:rPr>
                <w:highlight w:val="none"/>
              </w:rPr>
            </w:pPr>
            <w:r>
              <w:rPr>
                <w:highlight w:val="none"/>
              </w:rPr>
              <w:t>LIMIT</w:t>
            </w:r>
          </w:p>
        </w:tc>
      </w:tr>
      <w:tr w14:paraId="44A2CC9B">
        <w:trPr>
          <w:jc w:val="center"/>
        </w:trPr>
        <w:tc>
          <w:tcPr>
            <w:tcW w:w="2126" w:type="dxa"/>
            <w:vAlign w:val="center"/>
          </w:tcPr>
          <w:p w14:paraId="3AF0627B">
            <w:pPr>
              <w:spacing w:before="0" w:after="0"/>
              <w:jc w:val="center"/>
              <w:rPr>
                <w:highlight w:val="none"/>
              </w:rPr>
            </w:pPr>
            <w:r>
              <w:rPr>
                <w:highlight w:val="none"/>
              </w:rPr>
              <w:t>Color</w:t>
            </w:r>
          </w:p>
        </w:tc>
        <w:tc>
          <w:tcPr>
            <w:tcW w:w="709" w:type="dxa"/>
            <w:vAlign w:val="center"/>
          </w:tcPr>
          <w:p w14:paraId="32FEE632">
            <w:pPr>
              <w:spacing w:before="0" w:after="0"/>
              <w:jc w:val="center"/>
              <w:rPr>
                <w:highlight w:val="none"/>
              </w:rPr>
            </w:pPr>
            <w:r>
              <w:rPr>
                <w:highlight w:val="none"/>
              </w:rPr>
              <w:t>1</w:t>
            </w:r>
          </w:p>
        </w:tc>
        <w:tc>
          <w:tcPr>
            <w:tcW w:w="1417" w:type="dxa"/>
            <w:vAlign w:val="center"/>
          </w:tcPr>
          <w:p w14:paraId="77D1DA03">
            <w:pPr>
              <w:spacing w:before="0" w:after="0"/>
              <w:jc w:val="center"/>
              <w:rPr>
                <w:highlight w:val="none"/>
              </w:rPr>
            </w:pPr>
            <w:r>
              <w:rPr>
                <w:highlight w:val="none"/>
              </w:rPr>
              <w:t>PI/Co</w:t>
            </w:r>
          </w:p>
        </w:tc>
        <w:tc>
          <w:tcPr>
            <w:tcW w:w="709" w:type="dxa"/>
            <w:vAlign w:val="center"/>
          </w:tcPr>
          <w:p w14:paraId="48A59ABA">
            <w:pPr>
              <w:spacing w:before="0" w:after="0"/>
              <w:jc w:val="center"/>
              <w:rPr>
                <w:highlight w:val="none"/>
              </w:rPr>
            </w:pPr>
            <w:r>
              <w:rPr>
                <w:highlight w:val="none"/>
              </w:rPr>
              <w:t>1</w:t>
            </w:r>
          </w:p>
        </w:tc>
        <w:tc>
          <w:tcPr>
            <w:tcW w:w="709" w:type="dxa"/>
            <w:vAlign w:val="center"/>
          </w:tcPr>
          <w:p w14:paraId="142DB24E">
            <w:pPr>
              <w:spacing w:before="0" w:after="0"/>
              <w:jc w:val="center"/>
              <w:rPr>
                <w:highlight w:val="none"/>
              </w:rPr>
            </w:pPr>
          </w:p>
        </w:tc>
        <w:tc>
          <w:tcPr>
            <w:tcW w:w="709" w:type="dxa"/>
            <w:vAlign w:val="center"/>
          </w:tcPr>
          <w:p w14:paraId="381E20EB">
            <w:pPr>
              <w:spacing w:before="0" w:after="0"/>
              <w:jc w:val="center"/>
              <w:rPr>
                <w:highlight w:val="none"/>
              </w:rPr>
            </w:pPr>
          </w:p>
        </w:tc>
        <w:tc>
          <w:tcPr>
            <w:tcW w:w="708" w:type="dxa"/>
            <w:vAlign w:val="center"/>
          </w:tcPr>
          <w:p w14:paraId="76E1B541">
            <w:pPr>
              <w:spacing w:before="0" w:after="0"/>
              <w:jc w:val="center"/>
              <w:rPr>
                <w:highlight w:val="none"/>
              </w:rPr>
            </w:pPr>
          </w:p>
        </w:tc>
        <w:tc>
          <w:tcPr>
            <w:tcW w:w="773" w:type="dxa"/>
            <w:vAlign w:val="center"/>
          </w:tcPr>
          <w:p w14:paraId="4BF36F4E">
            <w:pPr>
              <w:spacing w:before="0" w:after="0"/>
              <w:jc w:val="center"/>
              <w:rPr>
                <w:highlight w:val="none"/>
              </w:rPr>
            </w:pPr>
          </w:p>
        </w:tc>
        <w:tc>
          <w:tcPr>
            <w:tcW w:w="787" w:type="dxa"/>
            <w:vAlign w:val="center"/>
          </w:tcPr>
          <w:p w14:paraId="5501E45E">
            <w:pPr>
              <w:spacing w:before="0" w:after="0"/>
              <w:jc w:val="center"/>
              <w:rPr>
                <w:highlight w:val="none"/>
              </w:rPr>
            </w:pPr>
            <w:r>
              <w:rPr>
                <w:highlight w:val="none"/>
              </w:rPr>
              <w:t>20</w:t>
            </w:r>
          </w:p>
        </w:tc>
      </w:tr>
      <w:tr w14:paraId="58BD900D">
        <w:trPr>
          <w:jc w:val="center"/>
        </w:trPr>
        <w:tc>
          <w:tcPr>
            <w:tcW w:w="2126" w:type="dxa"/>
            <w:vAlign w:val="center"/>
          </w:tcPr>
          <w:p w14:paraId="349023B6">
            <w:pPr>
              <w:spacing w:before="0" w:after="0"/>
              <w:jc w:val="center"/>
              <w:rPr>
                <w:highlight w:val="none"/>
              </w:rPr>
            </w:pPr>
            <w:r>
              <w:rPr>
                <w:highlight w:val="none"/>
              </w:rPr>
              <w:t>Conductivity</w:t>
            </w:r>
          </w:p>
        </w:tc>
        <w:tc>
          <w:tcPr>
            <w:tcW w:w="709" w:type="dxa"/>
            <w:vAlign w:val="center"/>
          </w:tcPr>
          <w:p w14:paraId="18B6C8F3">
            <w:pPr>
              <w:spacing w:before="0" w:after="0"/>
              <w:jc w:val="center"/>
              <w:rPr>
                <w:highlight w:val="none"/>
              </w:rPr>
            </w:pPr>
            <w:r>
              <w:rPr>
                <w:highlight w:val="none"/>
              </w:rPr>
              <w:t>0,1</w:t>
            </w:r>
          </w:p>
        </w:tc>
        <w:tc>
          <w:tcPr>
            <w:tcW w:w="1417" w:type="dxa"/>
            <w:vAlign w:val="center"/>
          </w:tcPr>
          <w:p w14:paraId="3747BEDC">
            <w:pPr>
              <w:spacing w:before="0" w:after="0"/>
              <w:jc w:val="center"/>
              <w:rPr>
                <w:highlight w:val="none"/>
              </w:rPr>
            </w:pPr>
            <w:r>
              <w:rPr>
                <w:highlight w:val="none"/>
              </w:rPr>
              <w:t>μS/cm</w:t>
            </w:r>
          </w:p>
        </w:tc>
        <w:tc>
          <w:tcPr>
            <w:tcW w:w="709" w:type="dxa"/>
            <w:vAlign w:val="center"/>
          </w:tcPr>
          <w:p w14:paraId="5671DAAF">
            <w:pPr>
              <w:spacing w:before="0" w:after="0"/>
              <w:jc w:val="center"/>
              <w:rPr>
                <w:highlight w:val="none"/>
              </w:rPr>
            </w:pPr>
            <w:r>
              <w:rPr>
                <w:highlight w:val="none"/>
              </w:rPr>
              <w:t>935</w:t>
            </w:r>
          </w:p>
        </w:tc>
        <w:tc>
          <w:tcPr>
            <w:tcW w:w="709" w:type="dxa"/>
            <w:vAlign w:val="center"/>
          </w:tcPr>
          <w:p w14:paraId="68DF4077">
            <w:pPr>
              <w:spacing w:before="0" w:after="0"/>
              <w:jc w:val="center"/>
              <w:rPr>
                <w:highlight w:val="none"/>
              </w:rPr>
            </w:pPr>
            <w:r>
              <w:rPr>
                <w:highlight w:val="none"/>
              </w:rPr>
              <w:t>734</w:t>
            </w:r>
          </w:p>
        </w:tc>
        <w:tc>
          <w:tcPr>
            <w:tcW w:w="709" w:type="dxa"/>
            <w:vAlign w:val="center"/>
          </w:tcPr>
          <w:p w14:paraId="57B90DB7">
            <w:pPr>
              <w:spacing w:before="0" w:after="0"/>
              <w:jc w:val="center"/>
              <w:rPr>
                <w:highlight w:val="none"/>
              </w:rPr>
            </w:pPr>
            <w:r>
              <w:rPr>
                <w:highlight w:val="none"/>
              </w:rPr>
              <w:t>804</w:t>
            </w:r>
          </w:p>
        </w:tc>
        <w:tc>
          <w:tcPr>
            <w:tcW w:w="708" w:type="dxa"/>
            <w:vAlign w:val="center"/>
          </w:tcPr>
          <w:p w14:paraId="71500250">
            <w:pPr>
              <w:spacing w:before="0" w:after="0"/>
              <w:jc w:val="center"/>
              <w:rPr>
                <w:highlight w:val="none"/>
              </w:rPr>
            </w:pPr>
            <w:r>
              <w:rPr>
                <w:highlight w:val="none"/>
              </w:rPr>
              <w:t>1701</w:t>
            </w:r>
          </w:p>
        </w:tc>
        <w:tc>
          <w:tcPr>
            <w:tcW w:w="773" w:type="dxa"/>
            <w:vAlign w:val="center"/>
          </w:tcPr>
          <w:p w14:paraId="2575B94A">
            <w:pPr>
              <w:spacing w:before="0" w:after="0"/>
              <w:jc w:val="center"/>
              <w:rPr>
                <w:highlight w:val="none"/>
              </w:rPr>
            </w:pPr>
            <w:r>
              <w:rPr>
                <w:highlight w:val="none"/>
              </w:rPr>
              <w:t>805</w:t>
            </w:r>
          </w:p>
        </w:tc>
        <w:tc>
          <w:tcPr>
            <w:tcW w:w="787" w:type="dxa"/>
            <w:vAlign w:val="center"/>
          </w:tcPr>
          <w:p w14:paraId="30521A09">
            <w:pPr>
              <w:spacing w:before="0" w:after="0"/>
              <w:jc w:val="center"/>
              <w:rPr>
                <w:highlight w:val="none"/>
              </w:rPr>
            </w:pPr>
            <w:r>
              <w:rPr>
                <w:highlight w:val="none"/>
              </w:rPr>
              <w:t>-</w:t>
            </w:r>
          </w:p>
        </w:tc>
      </w:tr>
      <w:tr w14:paraId="3E4B2AE1">
        <w:trPr>
          <w:jc w:val="center"/>
        </w:trPr>
        <w:tc>
          <w:tcPr>
            <w:tcW w:w="2126" w:type="dxa"/>
            <w:vAlign w:val="center"/>
          </w:tcPr>
          <w:p w14:paraId="7B4C392E">
            <w:pPr>
              <w:spacing w:before="0" w:after="0"/>
              <w:jc w:val="center"/>
              <w:rPr>
                <w:highlight w:val="none"/>
              </w:rPr>
            </w:pPr>
            <w:r>
              <w:rPr>
                <w:highlight w:val="none"/>
              </w:rPr>
              <w:t>BIOCHEMICAL DEMAND FOR OXYGEN (DBO)</w:t>
            </w:r>
          </w:p>
        </w:tc>
        <w:tc>
          <w:tcPr>
            <w:tcW w:w="709" w:type="dxa"/>
            <w:vAlign w:val="center"/>
          </w:tcPr>
          <w:p w14:paraId="363AA095">
            <w:pPr>
              <w:spacing w:before="0" w:after="0"/>
              <w:jc w:val="center"/>
              <w:rPr>
                <w:highlight w:val="none"/>
              </w:rPr>
            </w:pPr>
            <w:r>
              <w:rPr>
                <w:highlight w:val="none"/>
              </w:rPr>
              <w:t>10</w:t>
            </w:r>
          </w:p>
        </w:tc>
        <w:tc>
          <w:tcPr>
            <w:tcW w:w="1417" w:type="dxa"/>
            <w:vAlign w:val="center"/>
          </w:tcPr>
          <w:p w14:paraId="022F4C2C">
            <w:pPr>
              <w:spacing w:before="0" w:after="0"/>
              <w:jc w:val="center"/>
              <w:rPr>
                <w:highlight w:val="none"/>
              </w:rPr>
            </w:pPr>
            <w:r>
              <w:rPr>
                <w:highlight w:val="none"/>
              </w:rPr>
              <w:t>mg/l</w:t>
            </w:r>
          </w:p>
        </w:tc>
        <w:tc>
          <w:tcPr>
            <w:tcW w:w="709" w:type="dxa"/>
            <w:vAlign w:val="center"/>
          </w:tcPr>
          <w:p w14:paraId="6B89F7DE">
            <w:pPr>
              <w:spacing w:before="0" w:after="0"/>
              <w:jc w:val="center"/>
              <w:rPr>
                <w:highlight w:val="none"/>
              </w:rPr>
            </w:pPr>
            <w:r>
              <w:rPr>
                <w:highlight w:val="none"/>
              </w:rPr>
              <w:t>N/D</w:t>
            </w:r>
          </w:p>
        </w:tc>
        <w:tc>
          <w:tcPr>
            <w:tcW w:w="709" w:type="dxa"/>
            <w:vAlign w:val="center"/>
          </w:tcPr>
          <w:p w14:paraId="26F6EF39">
            <w:pPr>
              <w:spacing w:before="0" w:after="0"/>
              <w:jc w:val="center"/>
              <w:rPr>
                <w:highlight w:val="none"/>
              </w:rPr>
            </w:pPr>
            <w:r>
              <w:rPr>
                <w:highlight w:val="none"/>
              </w:rPr>
              <w:t>N/D</w:t>
            </w:r>
          </w:p>
        </w:tc>
        <w:tc>
          <w:tcPr>
            <w:tcW w:w="709" w:type="dxa"/>
            <w:vAlign w:val="center"/>
          </w:tcPr>
          <w:p w14:paraId="6A441394">
            <w:pPr>
              <w:spacing w:before="0" w:after="0"/>
              <w:jc w:val="center"/>
              <w:rPr>
                <w:highlight w:val="none"/>
              </w:rPr>
            </w:pPr>
            <w:r>
              <w:rPr>
                <w:highlight w:val="none"/>
              </w:rPr>
              <w:t>N/D</w:t>
            </w:r>
          </w:p>
        </w:tc>
        <w:tc>
          <w:tcPr>
            <w:tcW w:w="708" w:type="dxa"/>
            <w:vAlign w:val="center"/>
          </w:tcPr>
          <w:p w14:paraId="50B0059B">
            <w:pPr>
              <w:spacing w:before="0" w:after="0"/>
              <w:jc w:val="center"/>
              <w:rPr>
                <w:highlight w:val="none"/>
              </w:rPr>
            </w:pPr>
            <w:r>
              <w:rPr>
                <w:highlight w:val="none"/>
              </w:rPr>
              <w:t>N/D</w:t>
            </w:r>
          </w:p>
        </w:tc>
        <w:tc>
          <w:tcPr>
            <w:tcW w:w="773" w:type="dxa"/>
            <w:vAlign w:val="center"/>
          </w:tcPr>
          <w:p w14:paraId="0BD3FA48">
            <w:pPr>
              <w:spacing w:before="0" w:after="0"/>
              <w:jc w:val="center"/>
              <w:rPr>
                <w:highlight w:val="none"/>
              </w:rPr>
            </w:pPr>
            <w:r>
              <w:rPr>
                <w:highlight w:val="none"/>
              </w:rPr>
              <w:t>N/D</w:t>
            </w:r>
          </w:p>
        </w:tc>
        <w:tc>
          <w:tcPr>
            <w:tcW w:w="787" w:type="dxa"/>
            <w:vAlign w:val="center"/>
          </w:tcPr>
          <w:p w14:paraId="5E355001">
            <w:pPr>
              <w:spacing w:before="0" w:after="0"/>
              <w:jc w:val="center"/>
              <w:rPr>
                <w:highlight w:val="none"/>
              </w:rPr>
            </w:pPr>
            <w:r>
              <w:rPr>
                <w:highlight w:val="none"/>
              </w:rPr>
              <w:t>-</w:t>
            </w:r>
          </w:p>
        </w:tc>
      </w:tr>
      <w:tr w14:paraId="7818F238">
        <w:trPr>
          <w:jc w:val="center"/>
        </w:trPr>
        <w:tc>
          <w:tcPr>
            <w:tcW w:w="2126" w:type="dxa"/>
            <w:vAlign w:val="center"/>
          </w:tcPr>
          <w:p w14:paraId="64B8BE85">
            <w:pPr>
              <w:spacing w:before="0" w:after="0"/>
              <w:jc w:val="center"/>
              <w:rPr>
                <w:highlight w:val="none"/>
              </w:rPr>
            </w:pPr>
            <w:r>
              <w:rPr>
                <w:highlight w:val="none"/>
              </w:rPr>
              <w:t>CHEMICAL DEMAND OF OXYGEN (DQO)</w:t>
            </w:r>
          </w:p>
        </w:tc>
        <w:tc>
          <w:tcPr>
            <w:tcW w:w="709" w:type="dxa"/>
            <w:vAlign w:val="center"/>
          </w:tcPr>
          <w:p w14:paraId="1E71EAC8">
            <w:pPr>
              <w:spacing w:before="0" w:after="0"/>
              <w:jc w:val="center"/>
              <w:rPr>
                <w:highlight w:val="none"/>
              </w:rPr>
            </w:pPr>
            <w:r>
              <w:rPr>
                <w:highlight w:val="none"/>
              </w:rPr>
              <w:t>5</w:t>
            </w:r>
          </w:p>
        </w:tc>
        <w:tc>
          <w:tcPr>
            <w:tcW w:w="1417" w:type="dxa"/>
            <w:vAlign w:val="center"/>
          </w:tcPr>
          <w:p w14:paraId="1348B4CE">
            <w:pPr>
              <w:spacing w:before="0" w:after="0"/>
              <w:jc w:val="center"/>
              <w:rPr>
                <w:highlight w:val="none"/>
              </w:rPr>
            </w:pPr>
            <w:r>
              <w:rPr>
                <w:highlight w:val="none"/>
              </w:rPr>
              <w:t>mg/l</w:t>
            </w:r>
          </w:p>
        </w:tc>
        <w:tc>
          <w:tcPr>
            <w:tcW w:w="709" w:type="dxa"/>
            <w:vAlign w:val="center"/>
          </w:tcPr>
          <w:p w14:paraId="674CF483">
            <w:pPr>
              <w:spacing w:before="0" w:after="0"/>
              <w:jc w:val="center"/>
              <w:rPr>
                <w:highlight w:val="none"/>
              </w:rPr>
            </w:pPr>
            <w:r>
              <w:rPr>
                <w:highlight w:val="none"/>
              </w:rPr>
              <w:t>N/D</w:t>
            </w:r>
          </w:p>
        </w:tc>
        <w:tc>
          <w:tcPr>
            <w:tcW w:w="709" w:type="dxa"/>
            <w:vAlign w:val="center"/>
          </w:tcPr>
          <w:p w14:paraId="0E4D2FD7">
            <w:pPr>
              <w:spacing w:before="0" w:after="0"/>
              <w:jc w:val="center"/>
              <w:rPr>
                <w:highlight w:val="none"/>
              </w:rPr>
            </w:pPr>
            <w:r>
              <w:rPr>
                <w:highlight w:val="none"/>
              </w:rPr>
              <w:t>N/D</w:t>
            </w:r>
          </w:p>
        </w:tc>
        <w:tc>
          <w:tcPr>
            <w:tcW w:w="709" w:type="dxa"/>
            <w:vAlign w:val="center"/>
          </w:tcPr>
          <w:p w14:paraId="42311450">
            <w:pPr>
              <w:spacing w:before="0" w:after="0"/>
              <w:jc w:val="center"/>
              <w:rPr>
                <w:highlight w:val="none"/>
              </w:rPr>
            </w:pPr>
            <w:r>
              <w:rPr>
                <w:highlight w:val="none"/>
              </w:rPr>
              <w:t>N/D</w:t>
            </w:r>
          </w:p>
        </w:tc>
        <w:tc>
          <w:tcPr>
            <w:tcW w:w="708" w:type="dxa"/>
            <w:vAlign w:val="center"/>
          </w:tcPr>
          <w:p w14:paraId="6FE5064B">
            <w:pPr>
              <w:spacing w:before="0" w:after="0"/>
              <w:jc w:val="center"/>
              <w:rPr>
                <w:highlight w:val="none"/>
              </w:rPr>
            </w:pPr>
            <w:r>
              <w:rPr>
                <w:highlight w:val="none"/>
              </w:rPr>
              <w:t>N/D</w:t>
            </w:r>
          </w:p>
        </w:tc>
        <w:tc>
          <w:tcPr>
            <w:tcW w:w="773" w:type="dxa"/>
            <w:vAlign w:val="center"/>
          </w:tcPr>
          <w:p w14:paraId="402F6528">
            <w:pPr>
              <w:spacing w:before="0" w:after="0"/>
              <w:jc w:val="center"/>
              <w:rPr>
                <w:highlight w:val="none"/>
              </w:rPr>
            </w:pPr>
            <w:r>
              <w:rPr>
                <w:highlight w:val="none"/>
              </w:rPr>
              <w:t>N/D</w:t>
            </w:r>
          </w:p>
        </w:tc>
        <w:tc>
          <w:tcPr>
            <w:tcW w:w="787" w:type="dxa"/>
            <w:vAlign w:val="center"/>
          </w:tcPr>
          <w:p w14:paraId="75487762">
            <w:pPr>
              <w:spacing w:before="0" w:after="0"/>
              <w:jc w:val="center"/>
              <w:rPr>
                <w:highlight w:val="none"/>
              </w:rPr>
            </w:pPr>
            <w:r>
              <w:rPr>
                <w:highlight w:val="none"/>
              </w:rPr>
              <w:t>-</w:t>
            </w:r>
          </w:p>
        </w:tc>
      </w:tr>
      <w:tr w14:paraId="45228A2F">
        <w:trPr>
          <w:jc w:val="center"/>
        </w:trPr>
        <w:tc>
          <w:tcPr>
            <w:tcW w:w="2126" w:type="dxa"/>
            <w:vAlign w:val="center"/>
          </w:tcPr>
          <w:p w14:paraId="701145DA">
            <w:pPr>
              <w:spacing w:before="0" w:after="0"/>
              <w:jc w:val="center"/>
              <w:rPr>
                <w:highlight w:val="none"/>
              </w:rPr>
            </w:pPr>
            <w:r>
              <w:rPr>
                <w:highlight w:val="none"/>
              </w:rPr>
              <w:t>PH</w:t>
            </w:r>
          </w:p>
        </w:tc>
        <w:tc>
          <w:tcPr>
            <w:tcW w:w="709" w:type="dxa"/>
            <w:vAlign w:val="center"/>
          </w:tcPr>
          <w:p w14:paraId="61B1B19B">
            <w:pPr>
              <w:spacing w:before="0" w:after="0"/>
              <w:jc w:val="center"/>
              <w:rPr>
                <w:highlight w:val="none"/>
              </w:rPr>
            </w:pPr>
            <w:r>
              <w:rPr>
                <w:highlight w:val="none"/>
              </w:rPr>
              <w:t>-</w:t>
            </w:r>
          </w:p>
        </w:tc>
        <w:tc>
          <w:tcPr>
            <w:tcW w:w="1417" w:type="dxa"/>
            <w:vAlign w:val="center"/>
          </w:tcPr>
          <w:p w14:paraId="78F7796C">
            <w:pPr>
              <w:spacing w:before="0" w:after="0"/>
              <w:jc w:val="center"/>
              <w:rPr>
                <w:highlight w:val="none"/>
              </w:rPr>
            </w:pPr>
            <w:r>
              <w:rPr>
                <w:highlight w:val="none"/>
              </w:rPr>
              <w:t>UpH</w:t>
            </w:r>
          </w:p>
        </w:tc>
        <w:tc>
          <w:tcPr>
            <w:tcW w:w="709" w:type="dxa"/>
            <w:vAlign w:val="center"/>
          </w:tcPr>
          <w:p w14:paraId="48FA1693">
            <w:pPr>
              <w:spacing w:before="0" w:after="0"/>
              <w:jc w:val="center"/>
              <w:rPr>
                <w:highlight w:val="none"/>
              </w:rPr>
            </w:pPr>
            <w:r>
              <w:rPr>
                <w:highlight w:val="none"/>
              </w:rPr>
              <w:t>7,4</w:t>
            </w:r>
          </w:p>
        </w:tc>
        <w:tc>
          <w:tcPr>
            <w:tcW w:w="709" w:type="dxa"/>
            <w:vAlign w:val="center"/>
          </w:tcPr>
          <w:p w14:paraId="3D40E66F">
            <w:pPr>
              <w:spacing w:before="0" w:after="0"/>
              <w:jc w:val="center"/>
              <w:rPr>
                <w:highlight w:val="none"/>
              </w:rPr>
            </w:pPr>
          </w:p>
        </w:tc>
        <w:tc>
          <w:tcPr>
            <w:tcW w:w="709" w:type="dxa"/>
            <w:vAlign w:val="center"/>
          </w:tcPr>
          <w:p w14:paraId="7DD512C7">
            <w:pPr>
              <w:spacing w:before="0" w:after="0"/>
              <w:jc w:val="center"/>
              <w:rPr>
                <w:highlight w:val="none"/>
              </w:rPr>
            </w:pPr>
          </w:p>
        </w:tc>
        <w:tc>
          <w:tcPr>
            <w:tcW w:w="708" w:type="dxa"/>
            <w:vAlign w:val="center"/>
          </w:tcPr>
          <w:p w14:paraId="723E500E">
            <w:pPr>
              <w:spacing w:before="0" w:after="0"/>
              <w:jc w:val="center"/>
              <w:rPr>
                <w:highlight w:val="none"/>
              </w:rPr>
            </w:pPr>
          </w:p>
        </w:tc>
        <w:tc>
          <w:tcPr>
            <w:tcW w:w="773" w:type="dxa"/>
            <w:vAlign w:val="center"/>
          </w:tcPr>
          <w:p w14:paraId="5B921B5A">
            <w:pPr>
              <w:spacing w:before="0" w:after="0"/>
              <w:jc w:val="center"/>
              <w:rPr>
                <w:highlight w:val="none"/>
              </w:rPr>
            </w:pPr>
          </w:p>
        </w:tc>
        <w:tc>
          <w:tcPr>
            <w:tcW w:w="787" w:type="dxa"/>
            <w:vAlign w:val="center"/>
          </w:tcPr>
          <w:p w14:paraId="0F3025B0">
            <w:pPr>
              <w:spacing w:before="0" w:after="0"/>
              <w:jc w:val="center"/>
              <w:rPr>
                <w:highlight w:val="none"/>
              </w:rPr>
            </w:pPr>
            <w:r>
              <w:rPr>
                <w:highlight w:val="none"/>
              </w:rPr>
              <w:t>-</w:t>
            </w:r>
          </w:p>
        </w:tc>
      </w:tr>
      <w:tr w14:paraId="2ADDFDCA">
        <w:trPr>
          <w:trHeight w:val="892" w:hRule="atLeast"/>
          <w:jc w:val="center"/>
        </w:trPr>
        <w:tc>
          <w:tcPr>
            <w:tcW w:w="2126" w:type="dxa"/>
            <w:vAlign w:val="center"/>
          </w:tcPr>
          <w:p w14:paraId="591BFE38">
            <w:pPr>
              <w:spacing w:before="0" w:after="0"/>
              <w:jc w:val="center"/>
              <w:rPr>
                <w:highlight w:val="none"/>
              </w:rPr>
            </w:pPr>
            <w:r>
              <w:rPr>
                <w:highlight w:val="none"/>
              </w:rPr>
              <w:t>SOLIDS IN SUSPENSION TOTALS (SST)</w:t>
            </w:r>
          </w:p>
        </w:tc>
        <w:tc>
          <w:tcPr>
            <w:tcW w:w="709" w:type="dxa"/>
            <w:vAlign w:val="center"/>
          </w:tcPr>
          <w:p w14:paraId="21F49FAF">
            <w:pPr>
              <w:spacing w:before="0" w:after="0"/>
              <w:jc w:val="center"/>
              <w:rPr>
                <w:highlight w:val="none"/>
              </w:rPr>
            </w:pPr>
            <w:r>
              <w:rPr>
                <w:highlight w:val="none"/>
              </w:rPr>
              <w:t>1</w:t>
            </w:r>
          </w:p>
        </w:tc>
        <w:tc>
          <w:tcPr>
            <w:tcW w:w="1417" w:type="dxa"/>
            <w:vAlign w:val="center"/>
          </w:tcPr>
          <w:p w14:paraId="409EC149">
            <w:pPr>
              <w:spacing w:before="0" w:after="0"/>
              <w:jc w:val="center"/>
              <w:rPr>
                <w:highlight w:val="none"/>
              </w:rPr>
            </w:pPr>
            <w:r>
              <w:rPr>
                <w:highlight w:val="none"/>
              </w:rPr>
              <w:t>mg/l</w:t>
            </w:r>
          </w:p>
        </w:tc>
        <w:tc>
          <w:tcPr>
            <w:tcW w:w="709" w:type="dxa"/>
            <w:vAlign w:val="center"/>
          </w:tcPr>
          <w:p w14:paraId="2569D6A7">
            <w:pPr>
              <w:spacing w:before="0" w:after="0"/>
              <w:jc w:val="center"/>
              <w:rPr>
                <w:highlight w:val="none"/>
              </w:rPr>
            </w:pPr>
            <w:r>
              <w:rPr>
                <w:highlight w:val="none"/>
              </w:rPr>
              <w:t>&lt;1</w:t>
            </w:r>
          </w:p>
        </w:tc>
        <w:tc>
          <w:tcPr>
            <w:tcW w:w="709" w:type="dxa"/>
            <w:vAlign w:val="center"/>
          </w:tcPr>
          <w:p w14:paraId="685C82EE">
            <w:pPr>
              <w:spacing w:before="0" w:after="0"/>
              <w:jc w:val="center"/>
              <w:rPr>
                <w:highlight w:val="none"/>
              </w:rPr>
            </w:pPr>
            <w:r>
              <w:rPr>
                <w:highlight w:val="none"/>
              </w:rPr>
              <w:t>&lt;1</w:t>
            </w:r>
          </w:p>
        </w:tc>
        <w:tc>
          <w:tcPr>
            <w:tcW w:w="709" w:type="dxa"/>
            <w:vAlign w:val="center"/>
          </w:tcPr>
          <w:p w14:paraId="4017E27E">
            <w:pPr>
              <w:spacing w:before="0" w:after="0"/>
              <w:jc w:val="center"/>
              <w:rPr>
                <w:highlight w:val="none"/>
              </w:rPr>
            </w:pPr>
            <w:r>
              <w:rPr>
                <w:highlight w:val="none"/>
              </w:rPr>
              <w:t>&lt;1</w:t>
            </w:r>
          </w:p>
        </w:tc>
        <w:tc>
          <w:tcPr>
            <w:tcW w:w="708" w:type="dxa"/>
            <w:vAlign w:val="center"/>
          </w:tcPr>
          <w:p w14:paraId="6F58C32D">
            <w:pPr>
              <w:spacing w:before="0" w:after="0"/>
              <w:jc w:val="center"/>
              <w:rPr>
                <w:highlight w:val="none"/>
              </w:rPr>
            </w:pPr>
            <w:r>
              <w:rPr>
                <w:highlight w:val="none"/>
              </w:rPr>
              <w:t>&lt;1</w:t>
            </w:r>
          </w:p>
        </w:tc>
        <w:tc>
          <w:tcPr>
            <w:tcW w:w="773" w:type="dxa"/>
            <w:vAlign w:val="center"/>
          </w:tcPr>
          <w:p w14:paraId="3B449986">
            <w:pPr>
              <w:spacing w:before="0" w:after="0"/>
              <w:jc w:val="center"/>
              <w:rPr>
                <w:highlight w:val="none"/>
              </w:rPr>
            </w:pPr>
            <w:r>
              <w:rPr>
                <w:highlight w:val="none"/>
              </w:rPr>
              <w:t>&lt;1</w:t>
            </w:r>
          </w:p>
        </w:tc>
        <w:tc>
          <w:tcPr>
            <w:tcW w:w="787" w:type="dxa"/>
            <w:vAlign w:val="center"/>
          </w:tcPr>
          <w:p w14:paraId="51C26D0A">
            <w:pPr>
              <w:spacing w:before="0" w:after="0"/>
              <w:jc w:val="center"/>
              <w:rPr>
                <w:highlight w:val="none"/>
              </w:rPr>
            </w:pPr>
            <w:r>
              <w:rPr>
                <w:highlight w:val="none"/>
              </w:rPr>
              <w:t>-</w:t>
            </w:r>
          </w:p>
        </w:tc>
      </w:tr>
      <w:tr w14:paraId="34F61978">
        <w:trPr>
          <w:jc w:val="center"/>
        </w:trPr>
        <w:tc>
          <w:tcPr>
            <w:tcW w:w="2126" w:type="dxa"/>
            <w:vAlign w:val="center"/>
          </w:tcPr>
          <w:p w14:paraId="215DEA1A">
            <w:pPr>
              <w:spacing w:before="0" w:after="0"/>
              <w:jc w:val="center"/>
              <w:rPr>
                <w:highlight w:val="none"/>
              </w:rPr>
            </w:pPr>
            <w:r>
              <w:rPr>
                <w:highlight w:val="none"/>
              </w:rPr>
              <w:t>Turbidity</w:t>
            </w:r>
          </w:p>
        </w:tc>
        <w:tc>
          <w:tcPr>
            <w:tcW w:w="709" w:type="dxa"/>
            <w:vAlign w:val="center"/>
          </w:tcPr>
          <w:p w14:paraId="2AEAB85F">
            <w:pPr>
              <w:spacing w:before="0" w:after="0"/>
              <w:jc w:val="center"/>
              <w:rPr>
                <w:highlight w:val="none"/>
              </w:rPr>
            </w:pPr>
            <w:r>
              <w:rPr>
                <w:highlight w:val="none"/>
              </w:rPr>
              <w:t>1</w:t>
            </w:r>
          </w:p>
        </w:tc>
        <w:tc>
          <w:tcPr>
            <w:tcW w:w="1417" w:type="dxa"/>
            <w:vAlign w:val="center"/>
          </w:tcPr>
          <w:p w14:paraId="09AFCE96">
            <w:pPr>
              <w:spacing w:before="0" w:after="0"/>
              <w:jc w:val="center"/>
              <w:rPr>
                <w:highlight w:val="none"/>
              </w:rPr>
            </w:pPr>
            <w:r>
              <w:rPr>
                <w:highlight w:val="none"/>
              </w:rPr>
              <w:t>UNT</w:t>
            </w:r>
          </w:p>
        </w:tc>
        <w:tc>
          <w:tcPr>
            <w:tcW w:w="709" w:type="dxa"/>
            <w:vAlign w:val="center"/>
          </w:tcPr>
          <w:p w14:paraId="3894FB34">
            <w:pPr>
              <w:spacing w:before="0" w:after="0"/>
              <w:jc w:val="center"/>
              <w:rPr>
                <w:highlight w:val="none"/>
              </w:rPr>
            </w:pPr>
            <w:r>
              <w:rPr>
                <w:highlight w:val="none"/>
              </w:rPr>
              <w:t>&lt;1</w:t>
            </w:r>
          </w:p>
        </w:tc>
        <w:tc>
          <w:tcPr>
            <w:tcW w:w="709" w:type="dxa"/>
            <w:vAlign w:val="center"/>
          </w:tcPr>
          <w:p w14:paraId="4675C1E6">
            <w:pPr>
              <w:spacing w:before="0" w:after="0"/>
              <w:jc w:val="center"/>
              <w:rPr>
                <w:highlight w:val="none"/>
              </w:rPr>
            </w:pPr>
          </w:p>
        </w:tc>
        <w:tc>
          <w:tcPr>
            <w:tcW w:w="709" w:type="dxa"/>
            <w:vAlign w:val="center"/>
          </w:tcPr>
          <w:p w14:paraId="2E9C5D63">
            <w:pPr>
              <w:spacing w:before="0" w:after="0"/>
              <w:jc w:val="center"/>
              <w:rPr>
                <w:highlight w:val="none"/>
              </w:rPr>
            </w:pPr>
          </w:p>
        </w:tc>
        <w:tc>
          <w:tcPr>
            <w:tcW w:w="708" w:type="dxa"/>
            <w:vAlign w:val="center"/>
          </w:tcPr>
          <w:p w14:paraId="3FB767B8">
            <w:pPr>
              <w:spacing w:before="0" w:after="0"/>
              <w:jc w:val="center"/>
              <w:rPr>
                <w:highlight w:val="none"/>
              </w:rPr>
            </w:pPr>
          </w:p>
        </w:tc>
        <w:tc>
          <w:tcPr>
            <w:tcW w:w="773" w:type="dxa"/>
            <w:vAlign w:val="center"/>
          </w:tcPr>
          <w:p w14:paraId="7A12E5FE">
            <w:pPr>
              <w:spacing w:before="0" w:after="0"/>
              <w:jc w:val="center"/>
              <w:rPr>
                <w:highlight w:val="none"/>
              </w:rPr>
            </w:pPr>
          </w:p>
        </w:tc>
        <w:tc>
          <w:tcPr>
            <w:tcW w:w="787" w:type="dxa"/>
            <w:vAlign w:val="center"/>
          </w:tcPr>
          <w:p w14:paraId="420E2D8C">
            <w:pPr>
              <w:spacing w:before="0" w:after="0"/>
              <w:jc w:val="center"/>
              <w:rPr>
                <w:highlight w:val="none"/>
              </w:rPr>
            </w:pPr>
          </w:p>
        </w:tc>
      </w:tr>
      <w:tr w14:paraId="784692E7">
        <w:trPr>
          <w:jc w:val="center"/>
        </w:trPr>
        <w:tc>
          <w:tcPr>
            <w:tcW w:w="2126" w:type="dxa"/>
            <w:vAlign w:val="center"/>
          </w:tcPr>
          <w:p w14:paraId="603BE09E">
            <w:pPr>
              <w:spacing w:before="0" w:after="0"/>
              <w:jc w:val="center"/>
              <w:rPr>
                <w:highlight w:val="none"/>
              </w:rPr>
            </w:pPr>
            <w:r>
              <w:rPr>
                <w:highlight w:val="none"/>
              </w:rPr>
              <w:t>FECAL COLIFORMS</w:t>
            </w:r>
          </w:p>
        </w:tc>
        <w:tc>
          <w:tcPr>
            <w:tcW w:w="709" w:type="dxa"/>
            <w:vAlign w:val="center"/>
          </w:tcPr>
          <w:p w14:paraId="7424E6EF">
            <w:pPr>
              <w:spacing w:before="0" w:after="0"/>
              <w:jc w:val="center"/>
              <w:rPr>
                <w:highlight w:val="none"/>
              </w:rPr>
            </w:pPr>
            <w:r>
              <w:rPr>
                <w:highlight w:val="none"/>
              </w:rPr>
              <w:t>2,2</w:t>
            </w:r>
          </w:p>
        </w:tc>
        <w:tc>
          <w:tcPr>
            <w:tcW w:w="1417" w:type="dxa"/>
            <w:vAlign w:val="center"/>
          </w:tcPr>
          <w:p w14:paraId="46BC6159">
            <w:pPr>
              <w:spacing w:before="0" w:after="0"/>
              <w:jc w:val="center"/>
              <w:rPr>
                <w:highlight w:val="none"/>
              </w:rPr>
            </w:pPr>
            <w:r>
              <w:rPr>
                <w:highlight w:val="none"/>
              </w:rPr>
              <w:t>NMP/100ml</w:t>
            </w:r>
          </w:p>
        </w:tc>
        <w:tc>
          <w:tcPr>
            <w:tcW w:w="709" w:type="dxa"/>
            <w:vAlign w:val="center"/>
          </w:tcPr>
          <w:p w14:paraId="43EF7D5B">
            <w:pPr>
              <w:spacing w:before="0" w:after="0"/>
              <w:jc w:val="center"/>
              <w:rPr>
                <w:highlight w:val="none"/>
              </w:rPr>
            </w:pPr>
            <w:r>
              <w:rPr>
                <w:highlight w:val="none"/>
              </w:rPr>
              <w:t>&lt;1,1</w:t>
            </w:r>
          </w:p>
        </w:tc>
        <w:tc>
          <w:tcPr>
            <w:tcW w:w="709" w:type="dxa"/>
            <w:vAlign w:val="center"/>
          </w:tcPr>
          <w:p w14:paraId="55A8E6B9">
            <w:pPr>
              <w:spacing w:before="0" w:after="0"/>
              <w:jc w:val="center"/>
              <w:rPr>
                <w:highlight w:val="none"/>
              </w:rPr>
            </w:pPr>
            <w:r>
              <w:rPr>
                <w:highlight w:val="none"/>
              </w:rPr>
              <w:t>&lt;1,1</w:t>
            </w:r>
          </w:p>
        </w:tc>
        <w:tc>
          <w:tcPr>
            <w:tcW w:w="709" w:type="dxa"/>
            <w:vAlign w:val="center"/>
          </w:tcPr>
          <w:p w14:paraId="4BA818CE">
            <w:pPr>
              <w:spacing w:before="0" w:after="0"/>
              <w:jc w:val="center"/>
              <w:rPr>
                <w:highlight w:val="none"/>
              </w:rPr>
            </w:pPr>
            <w:r>
              <w:rPr>
                <w:highlight w:val="none"/>
              </w:rPr>
              <w:t>&lt;1,1</w:t>
            </w:r>
          </w:p>
        </w:tc>
        <w:tc>
          <w:tcPr>
            <w:tcW w:w="708" w:type="dxa"/>
            <w:vAlign w:val="center"/>
          </w:tcPr>
          <w:p w14:paraId="0ACC6943">
            <w:pPr>
              <w:spacing w:before="0" w:after="0"/>
              <w:jc w:val="center"/>
              <w:rPr>
                <w:highlight w:val="none"/>
              </w:rPr>
            </w:pPr>
            <w:r>
              <w:rPr>
                <w:highlight w:val="none"/>
              </w:rPr>
              <w:t>&lt;1,1</w:t>
            </w:r>
          </w:p>
        </w:tc>
        <w:tc>
          <w:tcPr>
            <w:tcW w:w="773" w:type="dxa"/>
            <w:vAlign w:val="center"/>
          </w:tcPr>
          <w:p w14:paraId="5EEEDB52">
            <w:pPr>
              <w:spacing w:before="0" w:after="0"/>
              <w:jc w:val="center"/>
              <w:rPr>
                <w:highlight w:val="none"/>
              </w:rPr>
            </w:pPr>
            <w:r>
              <w:rPr>
                <w:highlight w:val="none"/>
              </w:rPr>
              <w:t>&lt;1,1</w:t>
            </w:r>
          </w:p>
        </w:tc>
        <w:tc>
          <w:tcPr>
            <w:tcW w:w="787" w:type="dxa"/>
            <w:vAlign w:val="center"/>
          </w:tcPr>
          <w:p w14:paraId="0C60CA89">
            <w:pPr>
              <w:spacing w:before="0" w:after="0"/>
              <w:jc w:val="center"/>
              <w:rPr>
                <w:highlight w:val="none"/>
              </w:rPr>
            </w:pPr>
            <w:r>
              <w:rPr>
                <w:highlight w:val="none"/>
              </w:rPr>
              <w:t>&lt;2,2</w:t>
            </w:r>
          </w:p>
        </w:tc>
      </w:tr>
      <w:tr w14:paraId="56D183FA">
        <w:trPr>
          <w:jc w:val="center"/>
        </w:trPr>
        <w:tc>
          <w:tcPr>
            <w:tcW w:w="2126" w:type="dxa"/>
            <w:vAlign w:val="center"/>
          </w:tcPr>
          <w:p w14:paraId="467E9D68">
            <w:pPr>
              <w:spacing w:before="0" w:after="0"/>
              <w:jc w:val="center"/>
              <w:rPr>
                <w:highlight w:val="none"/>
              </w:rPr>
            </w:pPr>
            <w:r>
              <w:rPr>
                <w:highlight w:val="none"/>
              </w:rPr>
              <w:t>TOTAL COLIFORMS</w:t>
            </w:r>
          </w:p>
        </w:tc>
        <w:tc>
          <w:tcPr>
            <w:tcW w:w="709" w:type="dxa"/>
            <w:vAlign w:val="center"/>
          </w:tcPr>
          <w:p w14:paraId="0269716E">
            <w:pPr>
              <w:spacing w:before="0" w:after="0"/>
              <w:jc w:val="center"/>
              <w:rPr>
                <w:highlight w:val="none"/>
              </w:rPr>
            </w:pPr>
            <w:r>
              <w:rPr>
                <w:highlight w:val="none"/>
              </w:rPr>
              <w:t>2,2</w:t>
            </w:r>
          </w:p>
        </w:tc>
        <w:tc>
          <w:tcPr>
            <w:tcW w:w="1417" w:type="dxa"/>
            <w:vAlign w:val="center"/>
          </w:tcPr>
          <w:p w14:paraId="223149DA">
            <w:pPr>
              <w:spacing w:before="0" w:after="0"/>
              <w:jc w:val="center"/>
              <w:rPr>
                <w:highlight w:val="none"/>
              </w:rPr>
            </w:pPr>
            <w:r>
              <w:rPr>
                <w:highlight w:val="none"/>
              </w:rPr>
              <w:t>NMP/100ml</w:t>
            </w:r>
          </w:p>
        </w:tc>
        <w:tc>
          <w:tcPr>
            <w:tcW w:w="709" w:type="dxa"/>
            <w:vAlign w:val="center"/>
          </w:tcPr>
          <w:p w14:paraId="57EAEF36">
            <w:pPr>
              <w:spacing w:before="0" w:after="0"/>
              <w:jc w:val="center"/>
              <w:rPr>
                <w:highlight w:val="none"/>
              </w:rPr>
            </w:pPr>
            <w:r>
              <w:rPr>
                <w:highlight w:val="none"/>
              </w:rPr>
              <w:t>&lt;1,1</w:t>
            </w:r>
          </w:p>
        </w:tc>
        <w:tc>
          <w:tcPr>
            <w:tcW w:w="709" w:type="dxa"/>
            <w:vAlign w:val="center"/>
          </w:tcPr>
          <w:p w14:paraId="6AE7D23E">
            <w:pPr>
              <w:spacing w:before="0" w:after="0"/>
              <w:jc w:val="center"/>
              <w:rPr>
                <w:highlight w:val="none"/>
              </w:rPr>
            </w:pPr>
            <w:r>
              <w:rPr>
                <w:highlight w:val="none"/>
              </w:rPr>
              <w:t>&lt;1,1</w:t>
            </w:r>
          </w:p>
        </w:tc>
        <w:tc>
          <w:tcPr>
            <w:tcW w:w="709" w:type="dxa"/>
            <w:vAlign w:val="center"/>
          </w:tcPr>
          <w:p w14:paraId="5A797661">
            <w:pPr>
              <w:spacing w:before="0" w:after="0"/>
              <w:jc w:val="center"/>
              <w:rPr>
                <w:highlight w:val="none"/>
              </w:rPr>
            </w:pPr>
            <w:r>
              <w:rPr>
                <w:highlight w:val="none"/>
              </w:rPr>
              <w:t>&lt;1,1</w:t>
            </w:r>
          </w:p>
        </w:tc>
        <w:tc>
          <w:tcPr>
            <w:tcW w:w="708" w:type="dxa"/>
            <w:vAlign w:val="center"/>
          </w:tcPr>
          <w:p w14:paraId="00BF49C6">
            <w:pPr>
              <w:spacing w:before="0" w:after="0"/>
              <w:jc w:val="center"/>
              <w:rPr>
                <w:highlight w:val="none"/>
              </w:rPr>
            </w:pPr>
            <w:r>
              <w:rPr>
                <w:highlight w:val="none"/>
              </w:rPr>
              <w:t>&lt;1,1</w:t>
            </w:r>
          </w:p>
        </w:tc>
        <w:tc>
          <w:tcPr>
            <w:tcW w:w="773" w:type="dxa"/>
            <w:vAlign w:val="center"/>
          </w:tcPr>
          <w:p w14:paraId="457DDEF0">
            <w:pPr>
              <w:spacing w:before="0" w:after="0"/>
              <w:jc w:val="center"/>
              <w:rPr>
                <w:highlight w:val="none"/>
              </w:rPr>
            </w:pPr>
            <w:r>
              <w:rPr>
                <w:highlight w:val="none"/>
              </w:rPr>
              <w:t>&lt;1,1</w:t>
            </w:r>
          </w:p>
        </w:tc>
        <w:tc>
          <w:tcPr>
            <w:tcW w:w="787" w:type="dxa"/>
            <w:vAlign w:val="center"/>
          </w:tcPr>
          <w:p w14:paraId="08DE64E6">
            <w:pPr>
              <w:spacing w:before="0" w:after="0"/>
              <w:jc w:val="center"/>
              <w:rPr>
                <w:highlight w:val="none"/>
              </w:rPr>
            </w:pPr>
            <w:r>
              <w:rPr>
                <w:highlight w:val="none"/>
              </w:rPr>
              <w:t>&lt;2,2</w:t>
            </w:r>
          </w:p>
        </w:tc>
      </w:tr>
    </w:tbl>
    <w:p w14:paraId="3EC0DF0B">
      <w:pPr>
        <w:pBdr>
          <w:top w:val="none" w:color="auto" w:sz="0" w:space="0"/>
          <w:left w:val="none" w:color="auto" w:sz="0" w:space="0"/>
          <w:bottom w:val="none" w:color="auto" w:sz="0" w:space="0"/>
          <w:right w:val="none" w:color="auto" w:sz="0" w:space="0"/>
          <w:between w:val="none" w:color="auto" w:sz="0" w:space="0"/>
        </w:pBdr>
        <w:rPr>
          <w:i/>
          <w:iCs/>
          <w:color w:val="000000"/>
          <w:sz w:val="20"/>
          <w:szCs w:val="20"/>
          <w:highlight w:val="none"/>
        </w:rPr>
      </w:pPr>
      <w:r>
        <w:rPr>
          <w:i/>
          <w:iCs/>
          <w:color w:val="000000"/>
          <w:sz w:val="20"/>
          <w:szCs w:val="20"/>
          <w:highlight w:val="none"/>
        </w:rPr>
        <w:t>* NOTE: Analysis Protocol No. 2258-2259-2260-2261-2262 issued by the HSE Engineering Laboratory is attached.</w:t>
      </w:r>
    </w:p>
    <w:p w14:paraId="0E36F8C9">
      <w:pPr>
        <w:pBdr>
          <w:top w:val="none" w:color="auto" w:sz="0" w:space="0"/>
          <w:left w:val="none" w:color="auto" w:sz="0" w:space="0"/>
          <w:bottom w:val="none" w:color="auto" w:sz="0" w:space="0"/>
          <w:right w:val="none" w:color="auto" w:sz="0" w:space="0"/>
          <w:between w:val="none" w:color="auto" w:sz="0" w:space="0"/>
        </w:pBdr>
        <w:spacing w:after="0"/>
        <w:jc w:val="left"/>
        <w:rPr>
          <w:color w:val="000000"/>
          <w:highlight w:val="none"/>
          <w:u w:val="single"/>
        </w:rPr>
      </w:pPr>
    </w:p>
    <w:p w14:paraId="25F0C296">
      <w:pPr>
        <w:pBdr>
          <w:top w:val="none" w:color="auto" w:sz="0" w:space="0"/>
          <w:left w:val="none" w:color="auto" w:sz="0" w:space="0"/>
          <w:bottom w:val="none" w:color="auto" w:sz="0" w:space="0"/>
          <w:right w:val="none" w:color="auto" w:sz="0" w:space="0"/>
          <w:between w:val="none" w:color="auto" w:sz="0" w:space="0"/>
        </w:pBdr>
        <w:spacing w:after="0"/>
        <w:jc w:val="left"/>
        <w:rPr>
          <w:color w:val="000000"/>
          <w:highlight w:val="none"/>
          <w:u w:val="single"/>
        </w:rPr>
      </w:pPr>
      <w:r>
        <w:rPr>
          <w:color w:val="000000"/>
          <w:highlight w:val="none"/>
          <w:u w:val="single"/>
        </w:rPr>
        <w:t>CONCLUSION</w:t>
      </w:r>
    </w:p>
    <w:p w14:paraId="2065AF3D">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 xml:space="preserve">In accordance with the guide values established for the parameters legislated in Provincial Resolution No. 1089/82 Annex A (Limits for the provision of drinking water), the </w:t>
      </w:r>
      <w:r>
        <w:rPr>
          <w:color w:val="000000"/>
          <w:highlight w:val="none"/>
          <w:lang w:val="es-ES"/>
        </w:rPr>
        <w:t>analyses</w:t>
      </w:r>
      <w:r>
        <w:rPr>
          <w:color w:val="000000"/>
          <w:highlight w:val="none"/>
        </w:rPr>
        <w:t xml:space="preserve"> are below said established limit values.</w:t>
      </w:r>
    </w:p>
    <w:p w14:paraId="78007A38">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Likewise, groundwater is not used as a source of drinking water supply, but with its control it must be verified that there has been no impact on the water resource in relation to the inputs, raw materials and products used in the production. industrial activity developed in the complex.</w:t>
      </w:r>
    </w:p>
    <w:p w14:paraId="2A5BEA35">
      <w:pPr>
        <w:pBdr>
          <w:top w:val="none" w:color="auto" w:sz="0" w:space="0"/>
          <w:left w:val="none" w:color="auto" w:sz="0" w:space="0"/>
          <w:bottom w:val="none" w:color="auto" w:sz="0" w:space="0"/>
          <w:right w:val="none" w:color="auto" w:sz="0" w:space="0"/>
          <w:between w:val="none" w:color="auto" w:sz="0" w:space="0"/>
        </w:pBdr>
        <w:rPr>
          <w:color w:val="000000"/>
          <w:highlight w:val="none"/>
        </w:rPr>
      </w:pPr>
      <w:r>
        <w:rPr>
          <w:color w:val="000000"/>
          <w:highlight w:val="none"/>
        </w:rPr>
        <w:t>Observing the results, it can be stated that there are no impacts that negatively affect the groundwater resource at the groundwater level.</w:t>
      </w:r>
    </w:p>
    <w:p w14:paraId="449DCA99">
      <w:pPr>
        <w:pStyle w:val="2"/>
        <w:rPr>
          <w:highlight w:val="none"/>
        </w:rPr>
      </w:pPr>
      <w:bookmarkStart w:id="16" w:name="_Toc622574197"/>
      <w:r>
        <w:rPr>
          <w:highlight w:val="none"/>
        </w:rPr>
        <w:t>Socioeconomic Aspects</w:t>
      </w:r>
      <w:bookmarkEnd w:id="15"/>
      <w:bookmarkEnd w:id="16"/>
    </w:p>
    <w:p w14:paraId="7DC319A2">
      <w:pPr>
        <w:rPr>
          <w:rFonts w:hint="default"/>
          <w:highlight w:val="none"/>
          <w:lang w:val="en-US"/>
        </w:rPr>
      </w:pPr>
      <w:bookmarkStart w:id="17" w:name="_Toc133669914"/>
      <w:bookmarkStart w:id="18" w:name="_Toc71903169"/>
      <w:r>
        <w:rPr>
          <w:rFonts w:hint="default"/>
          <w:highlight w:val="none"/>
          <w:lang w:val="en-US"/>
        </w:rPr>
        <w:t xml:space="preserve">As a B Corporation (BCorp) certified company, Worms S.A. analyses social aspects as part of its focus on social and environmental impact. The B Corp certification is an international standard that assesses the social and environmental responsibility of companies, beyond economic profitability. This certification is the result of the effort to become a sustainable company that considers society as the main part of the project. </w:t>
      </w:r>
    </w:p>
    <w:p w14:paraId="546637B7">
      <w:pPr>
        <w:rPr>
          <w:rFonts w:hint="default"/>
          <w:highlight w:val="none"/>
          <w:lang w:val="en-US"/>
        </w:rPr>
      </w:pPr>
      <w:r>
        <w:rPr>
          <w:rFonts w:hint="default"/>
          <w:highlight w:val="none"/>
          <w:lang w:val="en-US"/>
        </w:rPr>
        <w:t xml:space="preserve">Since its inception, Worms has </w:t>
      </w:r>
      <w:r>
        <w:rPr>
          <w:rFonts w:hint="default"/>
          <w:highlight w:val="none"/>
          <w:lang w:val="es-ES"/>
        </w:rPr>
        <w:t>analyzed</w:t>
      </w:r>
      <w:r>
        <w:rPr>
          <w:rFonts w:hint="default"/>
          <w:highlight w:val="none"/>
          <w:lang w:val="en-US"/>
        </w:rPr>
        <w:t xml:space="preserve"> the main socio-economic effects of its activities.  Before the start of the process, an analysis of the demographic and labor analysis was analy</w:t>
      </w:r>
      <w:r>
        <w:rPr>
          <w:rFonts w:hint="default"/>
          <w:highlight w:val="none"/>
          <w:lang w:val="es-ES"/>
        </w:rPr>
        <w:t>z</w:t>
      </w:r>
      <w:r>
        <w:rPr>
          <w:rFonts w:hint="default"/>
          <w:highlight w:val="none"/>
          <w:lang w:val="en-US"/>
        </w:rPr>
        <w:t>ed: based on  official statistic datas of Argentina and Arroyo Seco gover</w:t>
      </w:r>
      <w:r>
        <w:rPr>
          <w:rFonts w:hint="default"/>
          <w:highlight w:val="none"/>
          <w:lang w:val="es-ES"/>
        </w:rPr>
        <w:t>n</w:t>
      </w:r>
      <w:r>
        <w:rPr>
          <w:rFonts w:hint="default"/>
          <w:highlight w:val="none"/>
          <w:lang w:val="en-US"/>
        </w:rPr>
        <w:t>ments (</w:t>
      </w:r>
      <w:r>
        <w:rPr>
          <w:rFonts w:hint="default"/>
          <w:highlight w:val="none"/>
          <w:lang w:val="en-US"/>
        </w:rPr>
        <w:fldChar w:fldCharType="begin"/>
      </w:r>
      <w:r>
        <w:rPr>
          <w:rFonts w:hint="default"/>
          <w:highlight w:val="none"/>
          <w:lang w:val="en-US"/>
        </w:rPr>
        <w:instrText xml:space="preserve"> HYPERLINK "https://www.municipalidad-argentina.com.ar/municipalidad-arroyo-seco-s.html" </w:instrText>
      </w:r>
      <w:r>
        <w:rPr>
          <w:rFonts w:hint="default"/>
          <w:highlight w:val="none"/>
          <w:lang w:val="en-US"/>
        </w:rPr>
        <w:fldChar w:fldCharType="separate"/>
      </w:r>
      <w:r>
        <w:rPr>
          <w:rStyle w:val="20"/>
          <w:rFonts w:hint="default"/>
          <w:highlight w:val="none"/>
          <w:lang w:val="en-US"/>
        </w:rPr>
        <w:t>https://www.municipalidad-argentina.com.ar/municipalidad-arroyo-seco-s.html</w:t>
      </w:r>
      <w:r>
        <w:rPr>
          <w:rFonts w:hint="default"/>
          <w:highlight w:val="none"/>
          <w:lang w:val="en-US"/>
        </w:rPr>
        <w:fldChar w:fldCharType="end"/>
      </w:r>
      <w:r>
        <w:rPr>
          <w:rFonts w:hint="default"/>
          <w:highlight w:val="none"/>
          <w:lang w:val="en-US"/>
        </w:rPr>
        <w:t xml:space="preserve"> ; </w:t>
      </w:r>
      <w:r>
        <w:rPr>
          <w:rFonts w:hint="default"/>
          <w:highlight w:val="none"/>
          <w:lang w:val="en-US"/>
        </w:rPr>
        <w:fldChar w:fldCharType="begin"/>
      </w:r>
      <w:r>
        <w:rPr>
          <w:rFonts w:hint="default"/>
          <w:highlight w:val="none"/>
          <w:lang w:val="en-US"/>
        </w:rPr>
        <w:instrText xml:space="preserve"> HYPERLINK "https://www.arroyoseco.gov.ar/web/" </w:instrText>
      </w:r>
      <w:r>
        <w:rPr>
          <w:rFonts w:hint="default"/>
          <w:highlight w:val="none"/>
          <w:lang w:val="en-US"/>
        </w:rPr>
        <w:fldChar w:fldCharType="separate"/>
      </w:r>
      <w:r>
        <w:rPr>
          <w:rStyle w:val="20"/>
          <w:rFonts w:hint="default"/>
          <w:highlight w:val="none"/>
          <w:lang w:val="en-US"/>
        </w:rPr>
        <w:t>https://www.arroyoseco.gov.ar/web/</w:t>
      </w:r>
      <w:r>
        <w:rPr>
          <w:rFonts w:hint="default"/>
          <w:highlight w:val="none"/>
          <w:lang w:val="en-US"/>
        </w:rPr>
        <w:fldChar w:fldCharType="end"/>
      </w:r>
      <w:r>
        <w:rPr>
          <w:rFonts w:hint="default"/>
          <w:highlight w:val="none"/>
          <w:lang w:val="en-US"/>
        </w:rPr>
        <w:t>), an analysis of the population in the immediate surroundings was carried out.  According to these sources, the population of Arroyo Seco is around 20,000 inhabitants and its economy is based mainly on agricultural and livestock activities. This environment makes it a great support for Rosario. Being close to Rosario, many inhabitants work in that city, so there is a large constant flow of people who depend on that other city. Arroyo Seco is surrounded by fields where soybeans, corn, wheat and sunflowers are grown, as well as land for cattle raising. In terms of poverty, economic crises have greatly affected this agricultural sector, generating a reduction in purchasing power and an increase in the unemployed population.</w:t>
      </w:r>
    </w:p>
    <w:p w14:paraId="46E9014E">
      <w:pPr>
        <w:rPr>
          <w:rFonts w:hint="default"/>
          <w:highlight w:val="none"/>
          <w:lang w:val="en-US"/>
        </w:rPr>
      </w:pPr>
      <w:r>
        <w:rPr>
          <w:rFonts w:hint="default"/>
          <w:highlight w:val="none"/>
          <w:lang w:val="en-US"/>
        </w:rPr>
        <w:t xml:space="preserve">Taking into account this analysis of the socio-economic situation of the environment closest to Worms, S.A. the environment close to the facilities was analyzed: </w:t>
      </w:r>
    </w:p>
    <w:p w14:paraId="340C95EB">
      <w:pPr>
        <w:numPr>
          <w:ilvl w:val="0"/>
          <w:numId w:val="11"/>
        </w:numPr>
        <w:ind w:left="418" w:leftChars="0" w:hanging="418" w:firstLineChars="0"/>
        <w:rPr>
          <w:rFonts w:hint="default"/>
          <w:highlight w:val="none"/>
          <w:lang w:val="en-US"/>
        </w:rPr>
      </w:pPr>
      <w:r>
        <w:rPr>
          <w:rFonts w:hint="default"/>
          <w:highlight w:val="none"/>
          <w:lang w:val="en-US"/>
        </w:rPr>
        <w:t xml:space="preserve">Close population: the installations are more than 2 kilometers from the nearest population center (Arroyo Seco), there is no houses nearby. </w:t>
      </w:r>
    </w:p>
    <w:p w14:paraId="2E2805A4">
      <w:pPr>
        <w:numPr>
          <w:ilvl w:val="0"/>
          <w:numId w:val="11"/>
        </w:numPr>
        <w:ind w:left="418" w:leftChars="0" w:hanging="418" w:firstLineChars="0"/>
        <w:rPr>
          <w:rFonts w:hint="default"/>
          <w:highlight w:val="none"/>
          <w:lang w:val="en-US"/>
        </w:rPr>
      </w:pPr>
      <w:r>
        <w:rPr>
          <w:rFonts w:hint="default"/>
          <w:highlight w:val="none"/>
          <w:lang w:val="en-US"/>
        </w:rPr>
        <w:t>Neighborhood conditions: the boundaries of Worms S.A. are farmland and other companies: pig farm and agricultural land. The access roads to the facilities are made of dirt, which can lead to dust being raised when entering.</w:t>
      </w:r>
    </w:p>
    <w:p w14:paraId="7F043D45">
      <w:pPr>
        <w:numPr>
          <w:ilvl w:val="0"/>
          <w:numId w:val="11"/>
        </w:numPr>
        <w:ind w:left="418" w:leftChars="0" w:hanging="418" w:firstLineChars="0"/>
        <w:rPr>
          <w:highlight w:val="none"/>
          <w:lang w:val="en-US"/>
        </w:rPr>
      </w:pPr>
      <w:r>
        <w:rPr>
          <w:rFonts w:hint="default"/>
          <w:highlight w:val="none"/>
          <w:lang w:val="en-US"/>
        </w:rPr>
        <w:t>I</w:t>
      </w:r>
      <w:r>
        <w:rPr>
          <w:highlight w:val="none"/>
          <w:lang w:val="en-US"/>
        </w:rPr>
        <w:t>ndigenous communities or traditional territories</w:t>
      </w:r>
      <w:r>
        <w:rPr>
          <w:rFonts w:hint="default"/>
          <w:highlight w:val="none"/>
          <w:lang w:val="en-US"/>
        </w:rPr>
        <w:t>: t</w:t>
      </w:r>
      <w:r>
        <w:rPr>
          <w:highlight w:val="none"/>
          <w:lang w:val="en-US"/>
        </w:rPr>
        <w:t xml:space="preserve">he project location corresponds with an area where there are not indigenous communities or traditional territories according to the Indigenous Affairs Institute INAI (Instituto Nacional de Asuntos Indígenas in spanish), the governmental body of Argentina that regulates and controlled issues related with traditional and ingenuous communities with in the country. </w:t>
      </w:r>
    </w:p>
    <w:p w14:paraId="530DC10B">
      <w:pPr>
        <w:rPr>
          <w:rFonts w:hint="default"/>
          <w:highlight w:val="none"/>
          <w:lang w:val="en-US"/>
        </w:rPr>
      </w:pPr>
    </w:p>
    <w:p w14:paraId="5791A6D4">
      <w:pPr>
        <w:numPr>
          <w:ilvl w:val="0"/>
          <w:numId w:val="0"/>
        </w:numPr>
        <w:ind w:leftChars="0"/>
        <w:rPr>
          <w:rFonts w:hint="default"/>
          <w:highlight w:val="none"/>
          <w:lang w:val="en-US"/>
        </w:rPr>
      </w:pPr>
      <w:r>
        <w:rPr>
          <w:rFonts w:hint="default"/>
          <w:highlight w:val="none"/>
          <w:lang w:val="en-US"/>
        </w:rPr>
        <w:t>Taking into account this initial situation, the socioeconomic effects of this project are:</w:t>
      </w:r>
    </w:p>
    <w:p w14:paraId="3A479B06">
      <w:pPr>
        <w:numPr>
          <w:ilvl w:val="0"/>
          <w:numId w:val="11"/>
        </w:numPr>
        <w:ind w:left="418" w:leftChars="0" w:hanging="418" w:firstLineChars="0"/>
        <w:rPr>
          <w:rFonts w:hint="default"/>
          <w:highlight w:val="none"/>
          <w:lang w:val="en-US"/>
        </w:rPr>
      </w:pPr>
      <w:r>
        <w:rPr>
          <w:rFonts w:hint="default"/>
          <w:highlight w:val="none"/>
          <w:lang w:val="en-US"/>
        </w:rPr>
        <w:t xml:space="preserve">Improvement of the environment. </w:t>
      </w:r>
    </w:p>
    <w:p w14:paraId="796C87C8">
      <w:pPr>
        <w:numPr>
          <w:ilvl w:val="0"/>
          <w:numId w:val="11"/>
        </w:numPr>
        <w:ind w:left="418" w:leftChars="0" w:hanging="418" w:firstLineChars="0"/>
        <w:rPr>
          <w:rFonts w:hint="default"/>
          <w:highlight w:val="none"/>
          <w:lang w:val="en-US"/>
        </w:rPr>
      </w:pPr>
      <w:r>
        <w:rPr>
          <w:rFonts w:hint="default"/>
          <w:highlight w:val="none"/>
          <w:lang w:val="en-US"/>
        </w:rPr>
        <w:t>Increase in local employment.</w:t>
      </w:r>
    </w:p>
    <w:p w14:paraId="3E4B6849">
      <w:pPr>
        <w:numPr>
          <w:ilvl w:val="0"/>
          <w:numId w:val="11"/>
        </w:numPr>
        <w:ind w:left="418" w:leftChars="0" w:hanging="418" w:firstLineChars="0"/>
        <w:rPr>
          <w:rFonts w:hint="default"/>
          <w:highlight w:val="none"/>
          <w:lang w:val="en-US"/>
        </w:rPr>
      </w:pPr>
      <w:r>
        <w:rPr>
          <w:rFonts w:hint="default"/>
          <w:highlight w:val="none"/>
          <w:lang w:val="en-US"/>
        </w:rPr>
        <w:t>Give a second life to the waste generated by neighbouring companies.</w:t>
      </w:r>
    </w:p>
    <w:p w14:paraId="2FD42A01">
      <w:pPr>
        <w:rPr>
          <w:rFonts w:hint="default"/>
          <w:highlight w:val="none"/>
          <w:lang w:val="en-US"/>
        </w:rPr>
      </w:pPr>
      <w:r>
        <w:rPr>
          <w:rFonts w:hint="default"/>
          <w:highlight w:val="none"/>
          <w:lang w:val="en-US"/>
        </w:rPr>
        <w:t>All these impacts are positive, not generating relevant negative effects, so following the BCR tool No Net Harm, no corrective actions and measures are established.</w:t>
      </w:r>
    </w:p>
    <w:p w14:paraId="480C3620">
      <w:pPr>
        <w:rPr>
          <w:rFonts w:hint="default"/>
          <w:highlight w:val="none"/>
          <w:lang w:val="en-US"/>
        </w:rPr>
      </w:pPr>
      <w:r>
        <w:rPr>
          <w:rFonts w:hint="default"/>
          <w:highlight w:val="none"/>
          <w:lang w:val="en-US"/>
        </w:rPr>
        <w:t>The project activities do not cause harm to local communities or society in general.</w:t>
      </w:r>
    </w:p>
    <w:p w14:paraId="40E4B5B2">
      <w:pPr>
        <w:rPr>
          <w:highlight w:val="none"/>
          <w:lang w:val="en-GB"/>
        </w:rPr>
      </w:pPr>
    </w:p>
    <w:p w14:paraId="739CE9A3">
      <w:pPr>
        <w:pStyle w:val="2"/>
        <w:rPr>
          <w:highlight w:val="none"/>
        </w:rPr>
      </w:pPr>
      <w:bookmarkStart w:id="19" w:name="_Toc1064200795"/>
      <w:r>
        <w:rPr>
          <w:highlight w:val="none"/>
        </w:rPr>
        <w:t>Stakeholders’ Consultation</w:t>
      </w:r>
      <w:bookmarkEnd w:id="17"/>
      <w:bookmarkEnd w:id="18"/>
      <w:bookmarkEnd w:id="19"/>
    </w:p>
    <w:p w14:paraId="0C48A2BF">
      <w:pPr>
        <w:rPr>
          <w:rFonts w:hint="default"/>
          <w:highlight w:val="none"/>
          <w:lang w:val="en-GB"/>
        </w:rPr>
      </w:pPr>
      <w:r>
        <w:rPr>
          <w:rFonts w:hint="default"/>
          <w:highlight w:val="none"/>
          <w:lang w:val="en-GB"/>
        </w:rPr>
        <w:t xml:space="preserve">Worms Argentina S.A. has formal and regular processes for gathering information from stakeholders (focus groups, surveys, community meetings, neighbors, authorities, etc.) and has not received any negative feedback from them so far. In the other hand, is focusing in improving the positive impact in the community. </w:t>
      </w:r>
    </w:p>
    <w:p w14:paraId="0D3B9973">
      <w:pPr>
        <w:rPr>
          <w:rFonts w:hint="default"/>
          <w:highlight w:val="none"/>
          <w:lang w:val="en-GB"/>
        </w:rPr>
      </w:pPr>
      <w:r>
        <w:rPr>
          <w:rFonts w:hint="default"/>
          <w:highlight w:val="none"/>
          <w:lang w:val="en-GB"/>
        </w:rPr>
        <w:t xml:space="preserve">Worms Argentina S.A. has made a consultation with the principal stakeholders. All the information of the project can be consulted in our website </w:t>
      </w:r>
      <w:r>
        <w:rPr>
          <w:rFonts w:hint="default"/>
          <w:highlight w:val="none"/>
          <w:lang w:val="en-GB"/>
        </w:rPr>
        <w:fldChar w:fldCharType="begin"/>
      </w:r>
      <w:r>
        <w:rPr>
          <w:rFonts w:hint="default"/>
          <w:highlight w:val="none"/>
          <w:lang w:val="en-GB"/>
        </w:rPr>
        <w:instrText xml:space="preserve"> HYPERLINK "https://worms.ar/" </w:instrText>
      </w:r>
      <w:r>
        <w:rPr>
          <w:rFonts w:hint="default"/>
          <w:highlight w:val="none"/>
          <w:lang w:val="en-GB"/>
        </w:rPr>
        <w:fldChar w:fldCharType="separate"/>
      </w:r>
      <w:r>
        <w:rPr>
          <w:rStyle w:val="20"/>
          <w:rFonts w:hint="default"/>
          <w:highlight w:val="none"/>
          <w:lang w:val="en-GB"/>
        </w:rPr>
        <w:t>https://worms.ar/</w:t>
      </w:r>
      <w:r>
        <w:rPr>
          <w:rFonts w:hint="default"/>
          <w:highlight w:val="none"/>
          <w:lang w:val="en-GB"/>
        </w:rPr>
        <w:fldChar w:fldCharType="end"/>
      </w:r>
      <w:r>
        <w:rPr>
          <w:rFonts w:hint="default"/>
          <w:highlight w:val="none"/>
          <w:lang w:val="en-GB"/>
        </w:rPr>
        <w:t xml:space="preserve"> or in our social media: Instagram, Twitter, LinkedIn and Facebook. These platforms remain open throughout the project to facilitate access to all information related to the project, as well as its potential environmental and social effects.</w:t>
      </w:r>
    </w:p>
    <w:p w14:paraId="4CFF2A0D">
      <w:pPr>
        <w:rPr>
          <w:rFonts w:hint="default"/>
          <w:highlight w:val="none"/>
          <w:lang w:val="en-GB"/>
        </w:rPr>
      </w:pPr>
      <w:r>
        <w:rPr>
          <w:rFonts w:hint="default"/>
          <w:highlight w:val="none"/>
          <w:lang w:val="en-GB"/>
        </w:rPr>
        <w:t>As a BCorp company, stakeholders are essential for Worms Argentina S.A., since its mission is to create value not only for shareholders, but also for society and the environment. Worms Argentina S.A. takes a complete approach about the role of the company in the environment and the society, by creating excellent relations and being active in sharing knowledge and creating awareness about the project.</w:t>
      </w:r>
    </w:p>
    <w:p w14:paraId="49788476">
      <w:pPr>
        <w:rPr>
          <w:rFonts w:hint="default"/>
          <w:highlight w:val="none"/>
          <w:lang w:val="en-GB"/>
        </w:rPr>
      </w:pPr>
      <w:r>
        <w:rPr>
          <w:rFonts w:hint="default"/>
          <w:highlight w:val="none"/>
          <w:lang w:val="en-GB"/>
        </w:rPr>
        <w:t>All stakeholders have been consulted and are invited to provide comments. Appropriate mechanisms are also in place for them to provide comments on an ongoing basis throughout the project development. All stakeholders are involved in the process in an appropriate manner. Also, every year Worms Argentina S.A. makes a general mapping of social organizations and analysis of the areas we work with (impact areas) to evaluate which ones we identify with and begin to generate networks and joint projects.</w:t>
      </w:r>
    </w:p>
    <w:p w14:paraId="45908763">
      <w:pPr>
        <w:rPr>
          <w:rFonts w:hint="default"/>
          <w:highlight w:val="none"/>
          <w:lang w:val="en-GB"/>
        </w:rPr>
      </w:pPr>
      <w:r>
        <w:rPr>
          <w:rFonts w:hint="default"/>
          <w:highlight w:val="none"/>
          <w:lang w:val="en-GB"/>
        </w:rPr>
        <w:t>The stakeholders detected and their influence on the project are following:</w:t>
      </w:r>
    </w:p>
    <w:p w14:paraId="747F8721">
      <w:pPr>
        <w:rPr>
          <w:rFonts w:hint="default"/>
          <w:highlight w:val="none"/>
          <w:u w:val="single"/>
          <w:lang w:val="en-GB"/>
        </w:rPr>
      </w:pPr>
      <w:r>
        <w:rPr>
          <w:rFonts w:hint="default"/>
          <w:highlight w:val="none"/>
          <w:u w:val="single"/>
          <w:lang w:val="en-GB"/>
        </w:rPr>
        <w:t>Local community:</w:t>
      </w:r>
    </w:p>
    <w:p w14:paraId="53D73758">
      <w:pPr>
        <w:rPr>
          <w:rFonts w:hint="default"/>
          <w:highlight w:val="none"/>
          <w:lang w:val="en-GB"/>
        </w:rPr>
      </w:pPr>
      <w:r>
        <w:rPr>
          <w:rFonts w:hint="default"/>
          <w:highlight w:val="none"/>
          <w:lang w:val="en-GB"/>
        </w:rPr>
        <w:t>Although the company is located more than 2 kilometers from the nearest population center (Arroyo Seco), and considering that there are no indigenous populations in the area, Worms Argentina S.A. believes it is important to improve its immediate surroundings and create a positive impact on the local community.</w:t>
      </w:r>
    </w:p>
    <w:p w14:paraId="437CB245">
      <w:pPr>
        <w:rPr>
          <w:rFonts w:hint="default"/>
          <w:highlight w:val="none"/>
          <w:lang w:val="en-GB"/>
        </w:rPr>
      </w:pPr>
      <w:r>
        <w:rPr>
          <w:rFonts w:hint="default"/>
          <w:highlight w:val="none"/>
          <w:lang w:val="en-GB"/>
        </w:rPr>
        <w:t>The actions to include all the interested parties by the local community are:</w:t>
      </w:r>
    </w:p>
    <w:p w14:paraId="3E706823">
      <w:pPr>
        <w:rPr>
          <w:rFonts w:hint="default"/>
          <w:highlight w:val="none"/>
          <w:lang w:val="en-GB"/>
        </w:rPr>
      </w:pPr>
      <w:r>
        <w:rPr>
          <w:rFonts w:hint="default"/>
          <w:highlight w:val="none"/>
          <w:lang w:val="en-GB"/>
        </w:rPr>
        <w:t>- Yearly meetings: by having yearly meetings with local authorities and with neighbors to discuss the different actions that can be taking to support different initiatives.</w:t>
      </w:r>
    </w:p>
    <w:p w14:paraId="1AF5BE9A">
      <w:pPr>
        <w:rPr>
          <w:rFonts w:hint="default"/>
          <w:highlight w:val="none"/>
          <w:lang w:val="en-GB"/>
        </w:rPr>
      </w:pPr>
    </w:p>
    <w:p w14:paraId="733B2386">
      <w:pPr>
        <w:rPr>
          <w:rFonts w:hint="default"/>
          <w:highlight w:val="none"/>
          <w:lang w:val="en-GB"/>
        </w:rPr>
      </w:pPr>
      <w:r>
        <w:rPr>
          <w:rFonts w:hint="default"/>
          <w:highlight w:val="none"/>
          <w:lang w:val="en-GB"/>
        </w:rPr>
        <w:t>- Visits to the premises: by organizing visits to the premises in order to create awareness about the project and the positive impact, by donating compost for local gardens.</w:t>
      </w:r>
    </w:p>
    <w:p w14:paraId="3AD2DDF4">
      <w:pPr>
        <w:rPr>
          <w:rFonts w:hint="default"/>
          <w:highlight w:val="none"/>
          <w:lang w:val="en-GB"/>
        </w:rPr>
      </w:pPr>
      <w:r>
        <w:rPr>
          <w:rFonts w:hint="default"/>
          <w:highlight w:val="none"/>
          <w:lang w:val="en-GB"/>
        </w:rPr>
        <w:t>From these meetings, Worms Argentina S.A. took the initiative to improve the road that goes to the premises and is taking all corrective actions needed to avoid any problem for the rest of the users of the road. Minutes are taken from all these meetings, signed by both parties, which record all the suggestions, complaints from the community and all the actions that Worms will take to resolve them.</w:t>
      </w:r>
    </w:p>
    <w:p w14:paraId="7D2D3C6D">
      <w:pPr>
        <w:rPr>
          <w:rFonts w:hint="default" w:eastAsia="MS Mincho"/>
          <w:highlight w:val="none"/>
          <w:lang w:val="es-ES"/>
        </w:rPr>
      </w:pPr>
      <w:r>
        <w:rPr>
          <w:rFonts w:hint="default" w:eastAsia="MS Mincho"/>
          <w:highlight w:val="none"/>
          <w:lang w:val="es-ES"/>
        </w:rPr>
        <w:t>Since the start of the project, meetings with local community have collected comments about the dust generated on the unpaved roads surrounding the company. This meetings take place at the Worms Argentina S.A. facilities, accompanied by a visit to the same. Since the roads are not paved, the traffic of trucks causes dust to rise and wear them out more than they should.</w:t>
      </w:r>
    </w:p>
    <w:p w14:paraId="7E48D449">
      <w:pPr>
        <w:rPr>
          <w:rFonts w:hint="default" w:eastAsia="MS Mincho"/>
          <w:highlight w:val="none"/>
          <w:lang w:val="es-ES"/>
        </w:rPr>
      </w:pPr>
      <w:r>
        <w:rPr>
          <w:rFonts w:hint="default" w:eastAsia="MS Mincho"/>
          <w:highlight w:val="none"/>
          <w:lang w:val="es-ES"/>
        </w:rPr>
        <w:t>Over the years, agreements with local communities have been maintained.</w:t>
      </w:r>
    </w:p>
    <w:p w14:paraId="1039E1D8">
      <w:pPr>
        <w:rPr>
          <w:rFonts w:hint="default" w:eastAsia="MS Mincho"/>
          <w:highlight w:val="none"/>
          <w:lang w:val="es-ES"/>
        </w:rPr>
      </w:pPr>
      <w:r>
        <w:rPr>
          <w:rFonts w:hint="default" w:eastAsia="MS Mincho"/>
          <w:highlight w:val="none"/>
          <w:lang w:val="es-ES"/>
        </w:rPr>
        <w:t>To avoid raising dust, Worms Argentina S.A. has taken the decision to increase irrigation with its treated effluent and thus not have to use fresh water, keeping the roads as dust-free as possible and improving the well-being of residents. This can be seen reflected in the minutes with the community of December 23, 2018, November 15, 2019, November 10, 2020, December 1, 2021, December 15, 2022 and December 18, 2023.</w:t>
      </w:r>
    </w:p>
    <w:p w14:paraId="3BF00225">
      <w:pPr>
        <w:rPr>
          <w:rFonts w:hint="default"/>
          <w:highlight w:val="none"/>
          <w:lang w:val="en-GB"/>
        </w:rPr>
      </w:pPr>
    </w:p>
    <w:p w14:paraId="3ECF8798">
      <w:pPr>
        <w:rPr>
          <w:rFonts w:hint="default" w:eastAsia="MS Mincho"/>
          <w:highlight w:val="none"/>
          <w:lang w:val="es-ES"/>
        </w:rPr>
      </w:pPr>
      <w:r>
        <w:rPr>
          <w:rFonts w:hint="default"/>
          <w:highlight w:val="none"/>
          <w:lang w:val="en-GB"/>
        </w:rPr>
        <w:t>- Suggestion book and box: also, the company has and implemented a book of complaints and suggestions and a suggestion box as well open to the community in the area where the non-hazardous organic waste processing plant is located.</w:t>
      </w:r>
      <w:r>
        <w:rPr>
          <w:rFonts w:hint="default" w:eastAsia="MS Mincho"/>
          <w:highlight w:val="none"/>
          <w:lang w:val="es-ES"/>
        </w:rPr>
        <w:t xml:space="preserve"> This book reflects that there have been no comments in the five years of the project.</w:t>
      </w:r>
    </w:p>
    <w:p w14:paraId="1F2E1A19">
      <w:pPr>
        <w:rPr>
          <w:rFonts w:hint="default" w:eastAsia="MS Mincho"/>
          <w:highlight w:val="none"/>
          <w:lang w:val="en-GB"/>
        </w:rPr>
      </w:pPr>
    </w:p>
    <w:p w14:paraId="5BF5880F">
      <w:pPr>
        <w:rPr>
          <w:rFonts w:hint="default" w:eastAsia="MS Mincho"/>
          <w:highlight w:val="none"/>
          <w:lang w:val="es-ES"/>
        </w:rPr>
      </w:pPr>
      <w:r>
        <w:rPr>
          <w:rFonts w:hint="default"/>
          <w:highlight w:val="none"/>
          <w:lang w:val="en-GB"/>
        </w:rPr>
        <w:t xml:space="preserve">- Donations: on the other hand and in addition to road maintenance and infrastructure improvements, Worms makes charitable donations to local organizations. The donations are directed to those civil and/or commercial organizations of the town of Arroyo Seco, since Worms Argentina S.A is committed to developing the local territory in which our production plant is located. </w:t>
      </w:r>
      <w:r>
        <w:rPr>
          <w:rFonts w:hint="default" w:eastAsia="MS Mincho"/>
          <w:highlight w:val="none"/>
          <w:lang w:val="es-ES"/>
        </w:rPr>
        <w:t>Worms Argentina S.A makes monetary donations to Volunteer Firefighters of the town of Arroyo Seco.</w:t>
      </w:r>
    </w:p>
    <w:p w14:paraId="088DCE9A">
      <w:pPr>
        <w:rPr>
          <w:rFonts w:hint="default"/>
          <w:highlight w:val="none"/>
          <w:lang w:val="en-GB"/>
        </w:rPr>
      </w:pPr>
    </w:p>
    <w:p w14:paraId="21AF3DB9">
      <w:pPr>
        <w:rPr>
          <w:rFonts w:hint="default"/>
          <w:highlight w:val="none"/>
          <w:u w:val="single"/>
          <w:lang w:val="en-GB"/>
        </w:rPr>
      </w:pPr>
      <w:r>
        <w:rPr>
          <w:rFonts w:hint="default"/>
          <w:highlight w:val="none"/>
          <w:u w:val="single"/>
          <w:lang w:val="en-GB"/>
        </w:rPr>
        <w:t>Local Authorities:</w:t>
      </w:r>
    </w:p>
    <w:p w14:paraId="35A905EA">
      <w:pPr>
        <w:rPr>
          <w:rFonts w:hint="default"/>
          <w:highlight w:val="none"/>
          <w:lang w:val="en-GB"/>
        </w:rPr>
      </w:pPr>
      <w:r>
        <w:rPr>
          <w:rFonts w:hint="default"/>
          <w:highlight w:val="none"/>
          <w:lang w:val="en-GB"/>
        </w:rPr>
        <w:t xml:space="preserve">The local authorities have a big influence in the authorizations and regulations of the project activity. Hence, Worms S.A. maintains a close relationship with local authorities through different mechanisms: by having regular meetings to get the licenses and all necessary local authorizations, before the project start, and therefore every time that needs renovation, also every year by visiting the municipality and asking them for direct feedback. </w:t>
      </w:r>
    </w:p>
    <w:p w14:paraId="1AF9456C">
      <w:pPr>
        <w:rPr>
          <w:rFonts w:hint="default" w:eastAsia="MS Mincho"/>
          <w:highlight w:val="none"/>
          <w:lang w:val="es-ES"/>
        </w:rPr>
      </w:pPr>
      <w:r>
        <w:rPr>
          <w:rFonts w:hint="default" w:eastAsia="MS Mincho"/>
          <w:highlight w:val="none"/>
          <w:u w:val="none"/>
          <w:lang w:val="es-ES"/>
        </w:rPr>
        <w:t>I</w:t>
      </w:r>
      <w:r>
        <w:rPr>
          <w:rFonts w:hint="default" w:eastAsia="MS Mincho"/>
          <w:highlight w:val="none"/>
          <w:lang w:val="es-ES"/>
        </w:rPr>
        <w:t>n addition to the regular meetings held with local authorities regarding the licenses and authorizations required to develop the project, numerous visits have also been made to the facilities over the years.</w:t>
      </w:r>
    </w:p>
    <w:p w14:paraId="2D3136D6">
      <w:pPr>
        <w:rPr>
          <w:rFonts w:hint="default" w:eastAsia="MS Mincho"/>
          <w:highlight w:val="none"/>
          <w:lang w:val="es-ES"/>
        </w:rPr>
      </w:pPr>
      <w:r>
        <w:rPr>
          <w:rFonts w:hint="default" w:eastAsia="MS Mincho"/>
          <w:highlight w:val="none"/>
          <w:lang w:val="es-ES"/>
        </w:rPr>
        <w:t>During this first visit (13/06/2020) by the deputy of the province of Santa Fe, Maximiliano Pullaro, and his advisors, they were informed of the innovative and entrepreneurial activity of Worms S.A. and visited the facilities to learn about our project first-hand. (</w:t>
      </w:r>
      <w:r>
        <w:rPr>
          <w:rFonts w:hint="default" w:eastAsia="MS Mincho"/>
          <w:highlight w:val="none"/>
          <w:lang w:val="es-ES"/>
        </w:rPr>
        <w:fldChar w:fldCharType="begin"/>
      </w:r>
      <w:r>
        <w:rPr>
          <w:rFonts w:hint="default" w:eastAsia="MS Mincho"/>
          <w:highlight w:val="none"/>
          <w:lang w:val="es-ES"/>
        </w:rPr>
        <w:instrText xml:space="preserve"> HYPERLINK "https://twitter.com/WormsSA/status/1271927365594230785?cxt=HHwWgsC95ebM5aYjAAAA" </w:instrText>
      </w:r>
      <w:r>
        <w:rPr>
          <w:rFonts w:hint="default" w:eastAsia="MS Mincho"/>
          <w:highlight w:val="none"/>
          <w:lang w:val="es-ES"/>
        </w:rPr>
        <w:fldChar w:fldCharType="separate"/>
      </w:r>
      <w:r>
        <w:rPr>
          <w:rStyle w:val="20"/>
          <w:rFonts w:hint="default" w:eastAsia="MS Mincho"/>
          <w:highlight w:val="none"/>
          <w:lang w:val="es-ES"/>
        </w:rPr>
        <w:t>https://twitter.com/WormsSA/status/1271927365594230785?cxt=HHwWgsC95ebM5aYjAAAA</w:t>
      </w:r>
      <w:r>
        <w:rPr>
          <w:rFonts w:hint="default" w:eastAsia="MS Mincho"/>
          <w:highlight w:val="none"/>
          <w:lang w:val="es-ES"/>
        </w:rPr>
        <w:fldChar w:fldCharType="end"/>
      </w:r>
      <w:r>
        <w:rPr>
          <w:rFonts w:hint="default" w:eastAsia="MS Mincho"/>
          <w:highlight w:val="none"/>
          <w:lang w:val="es-ES"/>
        </w:rPr>
        <w:t xml:space="preserve">). The comments received were very positive, highly appreciating the innovative spirit that generates jobs and enriches the province, in addition to safeguarding the planet. </w:t>
      </w:r>
    </w:p>
    <w:p w14:paraId="20271101">
      <w:pPr>
        <w:rPr>
          <w:rFonts w:hint="default"/>
          <w:highlight w:val="none"/>
          <w:lang w:val="en-GB"/>
        </w:rPr>
      </w:pPr>
    </w:p>
    <w:p w14:paraId="29F4F681">
      <w:pPr>
        <w:rPr>
          <w:rFonts w:hint="default"/>
          <w:highlight w:val="none"/>
          <w:lang w:val="en-GB"/>
        </w:rPr>
      </w:pPr>
    </w:p>
    <w:p w14:paraId="00EAB136">
      <w:pPr>
        <w:rPr>
          <w:rFonts w:hint="default"/>
          <w:highlight w:val="none"/>
          <w:u w:val="single"/>
          <w:lang w:val="en-GB"/>
        </w:rPr>
      </w:pPr>
      <w:r>
        <w:rPr>
          <w:rFonts w:hint="default"/>
          <w:highlight w:val="none"/>
          <w:u w:val="single"/>
          <w:lang w:val="en-GB"/>
        </w:rPr>
        <w:t>National and Regional Authorities:</w:t>
      </w:r>
    </w:p>
    <w:p w14:paraId="22E50D5B">
      <w:pPr>
        <w:rPr>
          <w:rFonts w:hint="default"/>
          <w:highlight w:val="none"/>
          <w:lang w:val="en-GB"/>
        </w:rPr>
      </w:pPr>
      <w:r>
        <w:rPr>
          <w:rFonts w:hint="default"/>
          <w:highlight w:val="none"/>
          <w:lang w:val="en-GB"/>
        </w:rPr>
        <w:t>Worms collaborates with different authorities to support with the expertise in the development of the sustainability in the Country, by organizing meetings in their premises.</w:t>
      </w:r>
    </w:p>
    <w:p w14:paraId="3BB51660">
      <w:pPr>
        <w:rPr>
          <w:rFonts w:hint="default" w:eastAsia="MS Mincho"/>
          <w:highlight w:val="none"/>
          <w:lang w:val="es-ES"/>
        </w:rPr>
      </w:pPr>
      <w:r>
        <w:rPr>
          <w:rFonts w:hint="default"/>
          <w:highlight w:val="none"/>
          <w:lang w:val="en-GB"/>
        </w:rPr>
        <w:t>From a national point of view, the visit of the Minister of Productive Development of the Argentine Republic (Matias Kulfas) has been received at the facilities. He himself has declared that the circular economy is 1 of the 4 axes of the Green Productive Development Plan promoted by the Nation, being a plan to reduce the environmental impact of its productive activities and will allow the generation of more jobs. (</w:t>
      </w:r>
      <w:r>
        <w:rPr>
          <w:rFonts w:hint="default"/>
          <w:highlight w:val="none"/>
          <w:lang w:val="en-GB"/>
        </w:rPr>
        <w:fldChar w:fldCharType="begin"/>
      </w:r>
      <w:r>
        <w:rPr>
          <w:rFonts w:hint="default"/>
          <w:highlight w:val="none"/>
          <w:lang w:val="en-GB"/>
        </w:rPr>
        <w:instrText xml:space="preserve"> HYPERLINK "https://twitter.com/KulfasM/status/1453851371195744256?cxt=HHwWgICyhdGHj60oAAAA" </w:instrText>
      </w:r>
      <w:r>
        <w:rPr>
          <w:rFonts w:hint="default"/>
          <w:highlight w:val="none"/>
          <w:lang w:val="en-GB"/>
        </w:rPr>
        <w:fldChar w:fldCharType="separate"/>
      </w:r>
      <w:r>
        <w:rPr>
          <w:rStyle w:val="20"/>
          <w:rFonts w:hint="default"/>
          <w:highlight w:val="none"/>
          <w:lang w:val="en-GB"/>
        </w:rPr>
        <w:t>https://twitter.com/KulfasM/status/1453851371195744256?cxt=HHwWgICyhdGHj60oAAAA</w:t>
      </w:r>
      <w:r>
        <w:rPr>
          <w:rFonts w:hint="default"/>
          <w:highlight w:val="none"/>
          <w:lang w:val="en-GB"/>
        </w:rPr>
        <w:fldChar w:fldCharType="end"/>
      </w:r>
      <w:r>
        <w:rPr>
          <w:rFonts w:hint="default"/>
          <w:highlight w:val="none"/>
          <w:lang w:val="en-GB"/>
        </w:rPr>
        <w:t xml:space="preserve">, </w:t>
      </w:r>
      <w:r>
        <w:rPr>
          <w:rFonts w:hint="default"/>
          <w:highlight w:val="none"/>
          <w:lang w:val="en-GB"/>
        </w:rPr>
        <w:fldChar w:fldCharType="begin"/>
      </w:r>
      <w:r>
        <w:rPr>
          <w:rFonts w:hint="default"/>
          <w:highlight w:val="none"/>
          <w:lang w:val="en-GB"/>
        </w:rPr>
        <w:instrText xml:space="preserve"> HYPERLINK "https://twitter.com/WormsSA/status/1453861053650120724?cxt=HHwWqMC5-Zy7k60oAAAA" </w:instrText>
      </w:r>
      <w:r>
        <w:rPr>
          <w:rFonts w:hint="default"/>
          <w:highlight w:val="none"/>
          <w:lang w:val="en-GB"/>
        </w:rPr>
        <w:fldChar w:fldCharType="separate"/>
      </w:r>
      <w:r>
        <w:rPr>
          <w:rStyle w:val="20"/>
          <w:rFonts w:hint="default"/>
          <w:highlight w:val="none"/>
          <w:lang w:val="en-GB"/>
        </w:rPr>
        <w:t>https://twitter.com/WormsSA/status/1453861053650120724?cxt=HHwWqMC5-Zy7k60oAAAA</w:t>
      </w:r>
      <w:r>
        <w:rPr>
          <w:rFonts w:hint="default"/>
          <w:highlight w:val="none"/>
          <w:lang w:val="en-GB"/>
        </w:rPr>
        <w:fldChar w:fldCharType="end"/>
      </w:r>
      <w:r>
        <w:rPr>
          <w:rFonts w:hint="default"/>
          <w:highlight w:val="none"/>
          <w:lang w:val="en-GB"/>
        </w:rPr>
        <w:t>)</w:t>
      </w:r>
      <w:r>
        <w:rPr>
          <w:rFonts w:hint="default"/>
          <w:highlight w:val="none"/>
          <w:lang w:val="es-ES"/>
        </w:rPr>
        <w:t xml:space="preserve">. </w:t>
      </w:r>
      <w:r>
        <w:rPr>
          <w:rFonts w:hint="default" w:eastAsia="MS Mincho"/>
          <w:highlight w:val="none"/>
          <w:lang w:val="es-ES"/>
        </w:rPr>
        <w:t xml:space="preserve">He himself has declared that the circular economy is 1 of the 4 axes of the Green Productive Development Plan promoted by the Nation, being a plan to reduce the environmental impact of its productive activities and will allow the generation of more jobs. </w:t>
      </w:r>
    </w:p>
    <w:p w14:paraId="4CAD3042">
      <w:pPr>
        <w:rPr>
          <w:rFonts w:hint="default" w:eastAsia="MS Mincho"/>
          <w:highlight w:val="none"/>
          <w:lang w:val="es-ES"/>
        </w:rPr>
      </w:pPr>
      <w:r>
        <w:rPr>
          <w:rFonts w:hint="default" w:eastAsia="MS Mincho"/>
          <w:highlight w:val="none"/>
          <w:lang w:val="es-ES"/>
        </w:rPr>
        <w:t>We also received a visit (6/2/2021) from the Minister of Production of the Nation (Daniel Schteingart) with his team, interested in the continuous improvements of his projects. (</w:t>
      </w:r>
      <w:r>
        <w:rPr>
          <w:rFonts w:hint="default" w:eastAsia="MS Mincho"/>
          <w:highlight w:val="none"/>
          <w:lang w:val="es-ES"/>
        </w:rPr>
        <w:fldChar w:fldCharType="begin"/>
      </w:r>
      <w:r>
        <w:rPr>
          <w:rFonts w:hint="default" w:eastAsia="MS Mincho"/>
          <w:highlight w:val="none"/>
          <w:lang w:val="es-ES"/>
        </w:rPr>
        <w:instrText xml:space="preserve"> HYPERLINK "https://x.com/WormsSA/status/1358163038558388224" </w:instrText>
      </w:r>
      <w:r>
        <w:rPr>
          <w:rFonts w:hint="default" w:eastAsia="MS Mincho"/>
          <w:highlight w:val="none"/>
          <w:lang w:val="es-ES"/>
        </w:rPr>
        <w:fldChar w:fldCharType="separate"/>
      </w:r>
      <w:r>
        <w:rPr>
          <w:rStyle w:val="20"/>
          <w:rFonts w:hint="default" w:eastAsia="MS Mincho"/>
          <w:highlight w:val="none"/>
          <w:lang w:val="es-ES"/>
        </w:rPr>
        <w:t>https://x.com/WormsSA/status/1358163038558388224</w:t>
      </w:r>
      <w:r>
        <w:rPr>
          <w:rFonts w:hint="default" w:eastAsia="MS Mincho"/>
          <w:highlight w:val="none"/>
          <w:lang w:val="es-ES"/>
        </w:rPr>
        <w:fldChar w:fldCharType="end"/>
      </w:r>
      <w:r>
        <w:rPr>
          <w:rFonts w:hint="default" w:eastAsia="MS Mincho"/>
          <w:highlight w:val="none"/>
          <w:lang w:val="es-ES"/>
        </w:rPr>
        <w:t>;</w:t>
      </w:r>
      <w:r>
        <w:rPr>
          <w:rFonts w:hint="default" w:eastAsia="MS Mincho"/>
          <w:highlight w:val="none"/>
          <w:lang w:val="es-ES"/>
        </w:rPr>
        <w:fldChar w:fldCharType="begin"/>
      </w:r>
      <w:r>
        <w:rPr>
          <w:rFonts w:hint="default" w:eastAsia="MS Mincho"/>
          <w:highlight w:val="none"/>
          <w:lang w:val="es-ES"/>
        </w:rPr>
        <w:instrText xml:space="preserve"> HYPERLINK "https://twitter.com/WormsSA/status/1363628583772635141?cxt=HHwWioCy1Zu-yuwlAAAA" </w:instrText>
      </w:r>
      <w:r>
        <w:rPr>
          <w:rFonts w:hint="default" w:eastAsia="MS Mincho"/>
          <w:highlight w:val="none"/>
          <w:lang w:val="es-ES"/>
        </w:rPr>
        <w:fldChar w:fldCharType="separate"/>
      </w:r>
      <w:r>
        <w:rPr>
          <w:rStyle w:val="20"/>
          <w:rFonts w:hint="default" w:eastAsia="MS Mincho"/>
          <w:highlight w:val="none"/>
          <w:lang w:val="es-ES"/>
        </w:rPr>
        <w:t>https://twitter.com/WormsSA/status/1363628583772635141?cxt=HHwWioCy1Zu-yuwlAAAA</w:t>
      </w:r>
      <w:r>
        <w:rPr>
          <w:rFonts w:hint="default" w:eastAsia="MS Mincho"/>
          <w:highlight w:val="none"/>
          <w:lang w:val="es-ES"/>
        </w:rPr>
        <w:fldChar w:fldCharType="end"/>
      </w:r>
      <w:r>
        <w:rPr>
          <w:rFonts w:hint="default" w:eastAsia="MS Mincho"/>
          <w:highlight w:val="none"/>
          <w:lang w:val="es-ES"/>
        </w:rPr>
        <w:t xml:space="preserve">). Schteingart and his team toured the facilities and discussed the different production processes.The minister praised our actions and contribution to the planet through the circular economy. </w:t>
      </w:r>
    </w:p>
    <w:p w14:paraId="0E5EB0D4">
      <w:pPr>
        <w:rPr>
          <w:rFonts w:hint="default"/>
          <w:highlight w:val="none"/>
          <w:lang w:val="en-GB"/>
        </w:rPr>
      </w:pPr>
    </w:p>
    <w:p w14:paraId="2DEACEE3">
      <w:pPr>
        <w:rPr>
          <w:rFonts w:hint="default"/>
          <w:highlight w:val="none"/>
          <w:u w:val="single"/>
          <w:lang w:val="en-GB"/>
        </w:rPr>
      </w:pPr>
      <w:r>
        <w:rPr>
          <w:rFonts w:hint="default"/>
          <w:highlight w:val="none"/>
          <w:u w:val="single"/>
          <w:lang w:val="en-GB"/>
        </w:rPr>
        <w:t>Workers:</w:t>
      </w:r>
    </w:p>
    <w:p w14:paraId="14A97301">
      <w:pPr>
        <w:rPr>
          <w:rFonts w:hint="default"/>
          <w:highlight w:val="none"/>
          <w:lang w:val="en-GB"/>
        </w:rPr>
      </w:pPr>
      <w:r>
        <w:rPr>
          <w:rFonts w:hint="default"/>
          <w:highlight w:val="none"/>
          <w:lang w:val="en-GB"/>
        </w:rPr>
        <w:t>The company has a commitment to workers, considering them as key agents in the creation of social and environmental value. The actions and mechanisms that are taken to promote, include and interact with employees are the following:</w:t>
      </w:r>
    </w:p>
    <w:p w14:paraId="35CE11EC">
      <w:pPr>
        <w:rPr>
          <w:rFonts w:hint="default"/>
          <w:highlight w:val="none"/>
          <w:lang w:val="en-GB"/>
        </w:rPr>
      </w:pPr>
      <w:r>
        <w:rPr>
          <w:rFonts w:hint="default"/>
          <w:highlight w:val="none"/>
          <w:lang w:val="en-GB"/>
        </w:rPr>
        <w:t>- Employee handbook: the purpose of the employee handbook is to inform Worms Argentina S.A’s general policies, standards, procedures and benefits. This handbook helps the organization to have a more effective and efficient operation, to maintain an optimal work environment for all employees and to generate awareness of why our company exists.</w:t>
      </w:r>
    </w:p>
    <w:p w14:paraId="3C6F85C3">
      <w:pPr>
        <w:rPr>
          <w:rFonts w:hint="default"/>
          <w:highlight w:val="none"/>
          <w:lang w:val="en-GB"/>
        </w:rPr>
      </w:pPr>
      <w:r>
        <w:rPr>
          <w:rFonts w:hint="default"/>
          <w:highlight w:val="none"/>
          <w:lang w:val="en-GB"/>
        </w:rPr>
        <w:t>- Work environment survey: Worms Argentina S.A. strives to provide a friendly environment in which people thrive, accept challenges, develop themselves by fulfilling their goals and those of the company. Also, the company values the talents and abilities of its employees and seeks to foster an open, cooperative and dynamic environment in which both they and the company can thrive.</w:t>
      </w:r>
    </w:p>
    <w:p w14:paraId="654503C7">
      <w:pPr>
        <w:rPr>
          <w:rFonts w:hint="default"/>
          <w:highlight w:val="none"/>
          <w:lang w:val="en-GB"/>
        </w:rPr>
      </w:pPr>
      <w:r>
        <w:rPr>
          <w:rFonts w:hint="default"/>
          <w:highlight w:val="none"/>
          <w:lang w:val="en-GB"/>
        </w:rPr>
        <w:t>- Inclusive searches mechanism and recruitment policy: Worms Argentina S.A. encourages the search for professionals and collaborators who are promoters of a corporate and social culture, committed to caring for the environment and that contemplates integration without distinction of gender, sexual preferences, different abilities, ideology, religion. Also, Worms prioritizes hiring local workers.</w:t>
      </w:r>
    </w:p>
    <w:p w14:paraId="3259DBE8">
      <w:pPr>
        <w:rPr>
          <w:rFonts w:hint="default"/>
          <w:highlight w:val="none"/>
          <w:lang w:val="en-GB"/>
        </w:rPr>
      </w:pPr>
      <w:r>
        <w:rPr>
          <w:rFonts w:hint="default"/>
          <w:highlight w:val="none"/>
          <w:lang w:val="en-GB"/>
        </w:rPr>
        <w:t>- Performance evaluation policy: Worms Argentina S.A. continuously diagnoses and evaluates the comprehensive management of human capital, psycho-social conditions, and the degree of employee satisfaction with their team and the company. To do so, Worms Argentina S.A. has a performance evaluation system and implements work environment surveys.</w:t>
      </w:r>
    </w:p>
    <w:p w14:paraId="0A5C5847">
      <w:pPr>
        <w:rPr>
          <w:rFonts w:hint="default"/>
          <w:highlight w:val="none"/>
          <w:lang w:val="en-GB"/>
        </w:rPr>
      </w:pPr>
      <w:r>
        <w:rPr>
          <w:rFonts w:hint="default"/>
          <w:highlight w:val="none"/>
          <w:lang w:val="en-GB"/>
        </w:rPr>
        <w:t>All these actions allows to collect workers’ point of view of the project on an ongoing basis.</w:t>
      </w:r>
    </w:p>
    <w:p w14:paraId="201083AD">
      <w:pPr>
        <w:rPr>
          <w:rFonts w:hint="default" w:eastAsia="MS Mincho"/>
          <w:highlight w:val="none"/>
          <w:lang w:val="es-ES"/>
        </w:rPr>
      </w:pPr>
      <w:r>
        <w:rPr>
          <w:rFonts w:hint="default" w:eastAsia="MS Mincho"/>
          <w:highlight w:val="none"/>
          <w:u w:val="none"/>
          <w:lang w:val="es-ES"/>
        </w:rPr>
        <w:t>A</w:t>
      </w:r>
      <w:r>
        <w:rPr>
          <w:rFonts w:hint="default" w:eastAsia="MS Mincho"/>
          <w:highlight w:val="none"/>
          <w:lang w:val="es-ES"/>
        </w:rPr>
        <w:t>mong all the measures taken to analyse employee satisfaction, such as surveys, suggestion books and other mechanisms and satisfaction policies, no negative comments have been recorded about the project.</w:t>
      </w:r>
    </w:p>
    <w:p w14:paraId="534DED5F">
      <w:pPr>
        <w:rPr>
          <w:rFonts w:hint="default" w:eastAsia="MS Mincho"/>
          <w:highlight w:val="none"/>
          <w:lang w:val="en-GB"/>
        </w:rPr>
      </w:pPr>
    </w:p>
    <w:p w14:paraId="262EB485">
      <w:pPr>
        <w:rPr>
          <w:rFonts w:hint="default"/>
          <w:highlight w:val="none"/>
          <w:u w:val="single"/>
          <w:lang w:val="en-GB"/>
        </w:rPr>
      </w:pPr>
      <w:r>
        <w:rPr>
          <w:rFonts w:hint="default"/>
          <w:highlight w:val="none"/>
          <w:u w:val="single"/>
          <w:lang w:val="en-GB"/>
        </w:rPr>
        <w:t>Suppliers:</w:t>
      </w:r>
    </w:p>
    <w:p w14:paraId="307DCEBF">
      <w:pPr>
        <w:rPr>
          <w:rFonts w:hint="default"/>
          <w:highlight w:val="none"/>
          <w:lang w:val="en-GB"/>
        </w:rPr>
      </w:pPr>
      <w:r>
        <w:rPr>
          <w:rFonts w:hint="default"/>
          <w:highlight w:val="none"/>
          <w:lang w:val="en-GB"/>
        </w:rPr>
        <w:t>Counting on products that are not raw material of these project, more than 80% of suppliers are national, spending on local suppliers is more than 60%, contributing to the improvement of socio-economic conditions in the local community. Besides, all waste suppliers are localized in less than 200 km around the installations of Worms Argentina S.A.</w:t>
      </w:r>
    </w:p>
    <w:p w14:paraId="4319C97A">
      <w:pPr>
        <w:rPr>
          <w:rFonts w:hint="default"/>
          <w:highlight w:val="none"/>
          <w:lang w:val="en-GB"/>
        </w:rPr>
      </w:pPr>
      <w:r>
        <w:rPr>
          <w:rFonts w:hint="default"/>
          <w:highlight w:val="none"/>
          <w:lang w:val="en-GB"/>
        </w:rPr>
        <w:t>All suppliers adhere to the Supplier Code of Conduct. We are committed to strengthening communication and establishing common criteria and bases with our suppliers to contribute together to sustainable development. Worms Argentina S.A. do not maintain business relations with companies that do not comply with requirements as transparency, environmental protection or SDG alignment. Also, Worms S.A. has a continuous communication process and open communication channels with its suppliers to receive complaints and suggestions and to show closeness and transparency.</w:t>
      </w:r>
    </w:p>
    <w:p w14:paraId="041EC1F2">
      <w:pPr>
        <w:rPr>
          <w:rFonts w:hint="default" w:eastAsia="MS Mincho"/>
          <w:highlight w:val="none"/>
          <w:lang w:val="es-ES" w:eastAsia="es-ES"/>
        </w:rPr>
      </w:pPr>
      <w:r>
        <w:rPr>
          <w:rFonts w:hint="default" w:eastAsia="MS Mincho"/>
          <w:highlight w:val="none"/>
          <w:lang w:val="en-US" w:eastAsia="es-ES"/>
        </w:rPr>
        <w:t>I</w:t>
      </w:r>
      <w:r>
        <w:rPr>
          <w:rFonts w:hint="default" w:eastAsia="MS Mincho"/>
          <w:highlight w:val="none"/>
          <w:lang w:val="es-ES" w:eastAsia="es-ES"/>
        </w:rPr>
        <w:t>n addition to the usual communications with suppliers due to the daily actions of the project, each supplier adheres to our code of conduct through the signing of the agreement. To date, no comments have been received from suppliers. In fact, Worms Argentina S.A. has always received praise when presenting and signing the agreements, given its great commitment to the planet and society.</w:t>
      </w:r>
    </w:p>
    <w:p w14:paraId="2A50307D">
      <w:pPr>
        <w:rPr>
          <w:rFonts w:hint="default"/>
          <w:highlight w:val="none"/>
          <w:lang w:val="en-GB"/>
        </w:rPr>
      </w:pPr>
    </w:p>
    <w:p w14:paraId="082577E4">
      <w:pPr>
        <w:rPr>
          <w:rFonts w:hint="default"/>
          <w:highlight w:val="none"/>
          <w:lang w:val="en-GB"/>
        </w:rPr>
      </w:pPr>
      <w:r>
        <w:rPr>
          <w:rFonts w:hint="default"/>
          <w:highlight w:val="none"/>
          <w:u w:val="single"/>
          <w:lang w:val="en-GB"/>
        </w:rPr>
        <w:t>Customers</w:t>
      </w:r>
      <w:r>
        <w:rPr>
          <w:rFonts w:hint="default"/>
          <w:highlight w:val="none"/>
          <w:lang w:val="en-GB"/>
        </w:rPr>
        <w:t>:</w:t>
      </w:r>
    </w:p>
    <w:p w14:paraId="7BF8CD76">
      <w:pPr>
        <w:rPr>
          <w:rFonts w:hint="default" w:eastAsia="MS Mincho"/>
          <w:highlight w:val="none"/>
          <w:lang w:val="es-ES"/>
        </w:rPr>
      </w:pPr>
      <w:r>
        <w:rPr>
          <w:rFonts w:hint="default"/>
          <w:highlight w:val="none"/>
          <w:lang w:val="en-GB"/>
        </w:rPr>
        <w:t>As the Customer Satisfaction Procedure establishes, Worms Argentina S.A: sends a customer satisfaction surveys to all customers after delivery of units. The objetive of this surveys is the determination of the degree of satisfaction and perception regarding the degree of compliance with respect to the services provided.</w:t>
      </w:r>
      <w:r>
        <w:rPr>
          <w:rFonts w:hint="default"/>
          <w:highlight w:val="none"/>
          <w:lang w:val="es-ES"/>
        </w:rPr>
        <w:t xml:space="preserve"> </w:t>
      </w:r>
      <w:r>
        <w:rPr>
          <w:rFonts w:hint="default" w:eastAsia="MS Mincho"/>
          <w:highlight w:val="none"/>
          <w:lang w:val="es-ES"/>
        </w:rPr>
        <w:t>All comments were related to minor procedures such as the delivery of products and have been immediately resolved by the work team.</w:t>
      </w:r>
    </w:p>
    <w:p w14:paraId="290DEB58">
      <w:pPr>
        <w:rPr>
          <w:iCs/>
          <w:highlight w:val="none"/>
          <w:lang w:val="en-GB"/>
        </w:rPr>
      </w:pPr>
    </w:p>
    <w:p w14:paraId="272CA6CD">
      <w:pPr>
        <w:rPr>
          <w:rFonts w:hint="default"/>
          <w:highlight w:val="none"/>
          <w:lang w:val="es-ES"/>
        </w:rPr>
      </w:pPr>
    </w:p>
    <w:p w14:paraId="2C6FD33E">
      <w:pPr>
        <w:rPr>
          <w:rFonts w:hint="default" w:eastAsia="MS Mincho"/>
          <w:highlight w:val="none"/>
          <w:lang w:val="es-ES"/>
        </w:rPr>
      </w:pPr>
      <w:r>
        <w:rPr>
          <w:rFonts w:hint="default" w:eastAsia="MS Mincho"/>
          <w:highlight w:val="none"/>
          <w:lang w:val="es-ES"/>
        </w:rPr>
        <w:t>In summary, the company maintains its way of working and continuously improves to continue in the fight against climate change, investing in technology to achieve its objectives; and the most important thing is that to date the company has no complaints from the neighboring population regarding the treatments it carries out without generating odors. As mentioned before, Worms Argentina S.A. has no received comments about the development of the project. However, all communication channels remain open to achieve continuous improvement and to maintain the good work of the project.</w:t>
      </w:r>
    </w:p>
    <w:p w14:paraId="254310E3">
      <w:pPr>
        <w:rPr>
          <w:highlight w:val="none"/>
        </w:rPr>
      </w:pPr>
    </w:p>
    <w:p w14:paraId="59E36732">
      <w:pPr>
        <w:pStyle w:val="2"/>
        <w:rPr>
          <w:highlight w:val="none"/>
        </w:rPr>
      </w:pPr>
      <w:bookmarkStart w:id="20" w:name="_Toc57124943"/>
      <w:bookmarkStart w:id="21" w:name="_Toc133669917"/>
      <w:bookmarkStart w:id="22" w:name="_Toc1778949349"/>
      <w:r>
        <w:rPr>
          <w:highlight w:val="none"/>
        </w:rPr>
        <w:t>REDD+</w:t>
      </w:r>
      <w:bookmarkEnd w:id="20"/>
      <w:r>
        <w:rPr>
          <w:highlight w:val="none"/>
        </w:rPr>
        <w:t xml:space="preserve"> Safeguards</w:t>
      </w:r>
      <w:bookmarkEnd w:id="21"/>
      <w:bookmarkEnd w:id="22"/>
    </w:p>
    <w:p w14:paraId="1B0761F3">
      <w:pPr>
        <w:rPr>
          <w:i w:val="0"/>
          <w:iCs w:val="0"/>
          <w:color w:val="000000"/>
          <w:szCs w:val="24"/>
          <w:highlight w:val="none"/>
        </w:rPr>
      </w:pPr>
      <w:r>
        <w:rPr>
          <w:rFonts w:hint="default"/>
          <w:i w:val="0"/>
          <w:iCs w:val="0"/>
          <w:color w:val="000000"/>
          <w:szCs w:val="24"/>
          <w:highlight w:val="none"/>
        </w:rPr>
        <w:t>Not applicable because it’s not a REDD+ project.</w:t>
      </w:r>
    </w:p>
    <w:p w14:paraId="76E1D56C">
      <w:pPr>
        <w:pStyle w:val="2"/>
        <w:rPr>
          <w:highlight w:val="none"/>
        </w:rPr>
      </w:pPr>
      <w:bookmarkStart w:id="23" w:name="_Toc95557811"/>
      <w:bookmarkEnd w:id="23"/>
      <w:bookmarkStart w:id="24" w:name="_Toc95557807"/>
      <w:bookmarkEnd w:id="24"/>
      <w:bookmarkStart w:id="25" w:name="_Toc95557660"/>
      <w:bookmarkEnd w:id="25"/>
      <w:bookmarkStart w:id="26" w:name="_Toc95557812"/>
      <w:bookmarkEnd w:id="26"/>
      <w:bookmarkStart w:id="27" w:name="_Toc95555973"/>
      <w:bookmarkEnd w:id="27"/>
      <w:bookmarkStart w:id="28" w:name="_Toc95557219"/>
      <w:bookmarkEnd w:id="28"/>
      <w:bookmarkStart w:id="29" w:name="_Toc95557801"/>
      <w:bookmarkEnd w:id="29"/>
      <w:bookmarkStart w:id="30" w:name="_Toc95557650"/>
      <w:bookmarkEnd w:id="30"/>
      <w:bookmarkStart w:id="31" w:name="_Toc95557651"/>
      <w:bookmarkEnd w:id="31"/>
      <w:bookmarkStart w:id="32" w:name="_Toc95555961"/>
      <w:bookmarkEnd w:id="32"/>
      <w:bookmarkStart w:id="33" w:name="_Toc95557799"/>
      <w:bookmarkEnd w:id="33"/>
      <w:bookmarkStart w:id="34" w:name="_Toc95557204"/>
      <w:bookmarkEnd w:id="34"/>
      <w:bookmarkStart w:id="35" w:name="_Toc95555959"/>
      <w:bookmarkEnd w:id="35"/>
      <w:bookmarkStart w:id="36" w:name="_Toc95555960"/>
      <w:bookmarkEnd w:id="36"/>
      <w:bookmarkStart w:id="37" w:name="_Toc95555958"/>
      <w:bookmarkEnd w:id="37"/>
      <w:bookmarkStart w:id="38" w:name="_Toc95555970"/>
      <w:bookmarkEnd w:id="38"/>
      <w:bookmarkStart w:id="39" w:name="_Toc95557796"/>
      <w:bookmarkEnd w:id="39"/>
      <w:bookmarkStart w:id="40" w:name="_Toc95555967"/>
      <w:bookmarkEnd w:id="40"/>
      <w:bookmarkStart w:id="41" w:name="_Toc95557214"/>
      <w:bookmarkEnd w:id="41"/>
      <w:bookmarkStart w:id="42" w:name="_Toc95557647"/>
      <w:bookmarkEnd w:id="42"/>
      <w:bookmarkStart w:id="43" w:name="_Toc95557656"/>
      <w:bookmarkEnd w:id="43"/>
      <w:bookmarkStart w:id="44" w:name="_Toc95557805"/>
      <w:bookmarkEnd w:id="44"/>
      <w:bookmarkStart w:id="45" w:name="_Toc95557802"/>
      <w:bookmarkEnd w:id="45"/>
      <w:bookmarkStart w:id="46" w:name="_Toc95557795"/>
      <w:bookmarkEnd w:id="46"/>
      <w:bookmarkStart w:id="47" w:name="_Toc95557212"/>
      <w:bookmarkEnd w:id="47"/>
      <w:bookmarkStart w:id="48" w:name="_Toc95557806"/>
      <w:bookmarkEnd w:id="48"/>
      <w:bookmarkStart w:id="49" w:name="_Toc95557658"/>
      <w:bookmarkEnd w:id="49"/>
      <w:bookmarkStart w:id="50" w:name="_Toc95557217"/>
      <w:bookmarkEnd w:id="50"/>
      <w:bookmarkStart w:id="51" w:name="_Toc95557798"/>
      <w:bookmarkEnd w:id="51"/>
      <w:bookmarkStart w:id="52" w:name="_Toc95557657"/>
      <w:bookmarkEnd w:id="52"/>
      <w:bookmarkStart w:id="53" w:name="_Toc95557218"/>
      <w:bookmarkEnd w:id="53"/>
      <w:bookmarkStart w:id="54" w:name="_Toc95557797"/>
      <w:bookmarkEnd w:id="54"/>
      <w:bookmarkStart w:id="55" w:name="_Toc95557648"/>
      <w:bookmarkEnd w:id="55"/>
      <w:bookmarkStart w:id="56" w:name="_Toc95555962"/>
      <w:bookmarkEnd w:id="56"/>
      <w:bookmarkStart w:id="57" w:name="_Toc95557794"/>
      <w:bookmarkEnd w:id="57"/>
      <w:bookmarkStart w:id="58" w:name="_Toc95557792"/>
      <w:bookmarkEnd w:id="58"/>
      <w:bookmarkStart w:id="59" w:name="_Toc95557652"/>
      <w:bookmarkEnd w:id="59"/>
      <w:bookmarkStart w:id="60" w:name="_Toc95557206"/>
      <w:bookmarkEnd w:id="60"/>
      <w:bookmarkStart w:id="61" w:name="_Toc95494794"/>
      <w:bookmarkEnd w:id="61"/>
      <w:bookmarkStart w:id="62" w:name="_Toc95557667"/>
      <w:bookmarkEnd w:id="62"/>
      <w:bookmarkStart w:id="63" w:name="_Otros_requisitos_para"/>
      <w:bookmarkEnd w:id="63"/>
      <w:bookmarkStart w:id="64" w:name="_Toc95555957"/>
      <w:bookmarkEnd w:id="64"/>
      <w:bookmarkStart w:id="65" w:name="_Toc95557222"/>
      <w:bookmarkEnd w:id="65"/>
      <w:bookmarkStart w:id="66" w:name="_Toc95555977"/>
      <w:bookmarkEnd w:id="66"/>
      <w:bookmarkStart w:id="67" w:name="_Toc95555963"/>
      <w:bookmarkEnd w:id="67"/>
      <w:bookmarkStart w:id="68" w:name="_Toc95557208"/>
      <w:bookmarkEnd w:id="68"/>
      <w:bookmarkStart w:id="69" w:name="_Toc95557661"/>
      <w:bookmarkEnd w:id="69"/>
      <w:bookmarkStart w:id="70" w:name="_Toc95555978"/>
      <w:bookmarkEnd w:id="70"/>
      <w:bookmarkStart w:id="71" w:name="_Toc95557666"/>
      <w:bookmarkEnd w:id="71"/>
      <w:bookmarkStart w:id="72" w:name="_Toc95557224"/>
      <w:bookmarkEnd w:id="72"/>
      <w:bookmarkStart w:id="73" w:name="_Toc95557814"/>
      <w:bookmarkEnd w:id="73"/>
      <w:bookmarkStart w:id="74" w:name="_Toc95557210"/>
      <w:bookmarkEnd w:id="74"/>
      <w:bookmarkStart w:id="75" w:name="_Toc95557813"/>
      <w:bookmarkEnd w:id="75"/>
      <w:bookmarkStart w:id="76" w:name="_Toc95557205"/>
      <w:bookmarkEnd w:id="76"/>
      <w:bookmarkStart w:id="77" w:name="_Toc95557654"/>
      <w:bookmarkEnd w:id="77"/>
      <w:bookmarkStart w:id="78" w:name="_Toc95557216"/>
      <w:bookmarkEnd w:id="78"/>
      <w:bookmarkStart w:id="79" w:name="_Toc95557655"/>
      <w:bookmarkEnd w:id="79"/>
      <w:bookmarkStart w:id="80" w:name="_Toc95557213"/>
      <w:bookmarkEnd w:id="80"/>
      <w:bookmarkStart w:id="81" w:name="_Toc95555968"/>
      <w:bookmarkEnd w:id="81"/>
      <w:bookmarkStart w:id="82" w:name="_Toc95555966"/>
      <w:bookmarkEnd w:id="82"/>
      <w:bookmarkStart w:id="83" w:name="_Toc95557215"/>
      <w:bookmarkEnd w:id="83"/>
      <w:bookmarkStart w:id="84" w:name="_Toc95555971"/>
      <w:bookmarkEnd w:id="84"/>
      <w:bookmarkStart w:id="85" w:name="_Toc95557653"/>
      <w:bookmarkEnd w:id="85"/>
      <w:bookmarkStart w:id="86" w:name="_Toc95557659"/>
      <w:bookmarkEnd w:id="86"/>
      <w:bookmarkStart w:id="87" w:name="_Toc95557209"/>
      <w:bookmarkEnd w:id="87"/>
      <w:bookmarkStart w:id="88" w:name="_Toc95557804"/>
      <w:bookmarkEnd w:id="88"/>
      <w:bookmarkStart w:id="89" w:name="_Toc95555964"/>
      <w:bookmarkEnd w:id="89"/>
      <w:bookmarkStart w:id="90" w:name="_Toc95557665"/>
      <w:bookmarkEnd w:id="90"/>
      <w:bookmarkStart w:id="91" w:name="_Toc95555969"/>
      <w:bookmarkEnd w:id="91"/>
      <w:bookmarkStart w:id="92" w:name="_Toc95557803"/>
      <w:bookmarkEnd w:id="92"/>
      <w:bookmarkStart w:id="93" w:name="_Toc95557220"/>
      <w:bookmarkEnd w:id="93"/>
      <w:bookmarkStart w:id="94" w:name="_Toc95555965"/>
      <w:bookmarkEnd w:id="94"/>
      <w:bookmarkStart w:id="95" w:name="_Toc95557808"/>
      <w:bookmarkEnd w:id="95"/>
      <w:bookmarkStart w:id="96" w:name="_Toc95555972"/>
      <w:bookmarkEnd w:id="96"/>
      <w:bookmarkStart w:id="97" w:name="_Toc95557800"/>
      <w:bookmarkEnd w:id="97"/>
      <w:bookmarkStart w:id="98" w:name="_Toc95557663"/>
      <w:bookmarkEnd w:id="98"/>
      <w:bookmarkStart w:id="99" w:name="_Toc95557223"/>
      <w:bookmarkEnd w:id="99"/>
      <w:bookmarkStart w:id="100" w:name="_Toc95557809"/>
      <w:bookmarkEnd w:id="100"/>
      <w:bookmarkStart w:id="101" w:name="_Toc95557810"/>
      <w:bookmarkEnd w:id="101"/>
      <w:bookmarkStart w:id="102" w:name="_Toc95557225"/>
      <w:bookmarkEnd w:id="102"/>
      <w:bookmarkStart w:id="103" w:name="_Toc95557664"/>
      <w:bookmarkEnd w:id="103"/>
      <w:bookmarkStart w:id="104" w:name="_Toc95557662"/>
      <w:bookmarkEnd w:id="104"/>
      <w:bookmarkStart w:id="105" w:name="_Toc95557221"/>
      <w:bookmarkEnd w:id="105"/>
      <w:bookmarkStart w:id="106" w:name="_Toc95555975"/>
      <w:bookmarkEnd w:id="106"/>
      <w:bookmarkStart w:id="107" w:name="_Toc95555976"/>
      <w:bookmarkEnd w:id="107"/>
      <w:bookmarkStart w:id="108" w:name="_Toc95557211"/>
      <w:bookmarkEnd w:id="108"/>
      <w:bookmarkStart w:id="109" w:name="_Toc95557649"/>
      <w:bookmarkEnd w:id="109"/>
      <w:bookmarkStart w:id="110" w:name="_Toc95557207"/>
      <w:bookmarkEnd w:id="110"/>
      <w:bookmarkStart w:id="111" w:name="_Toc95555974"/>
      <w:bookmarkEnd w:id="111"/>
      <w:bookmarkStart w:id="112" w:name="_Toc1534375109"/>
      <w:bookmarkStart w:id="113" w:name="_Toc133669918"/>
      <w:bookmarkStart w:id="114" w:name="_Toc57124945"/>
      <w:r>
        <w:rPr>
          <w:highlight w:val="none"/>
        </w:rPr>
        <w:t>Special categories, related to co-benefits</w:t>
      </w:r>
      <w:bookmarkEnd w:id="112"/>
      <w:bookmarkEnd w:id="113"/>
      <w:r>
        <w:rPr>
          <w:highlight w:val="none"/>
        </w:rPr>
        <w:t xml:space="preserve"> </w:t>
      </w:r>
      <w:bookmarkEnd w:id="114"/>
    </w:p>
    <w:p w14:paraId="39CFC29C">
      <w:pPr>
        <w:rPr>
          <w:rStyle w:val="70"/>
          <w:rFonts w:hint="default" w:ascii="Arial Regular" w:hAnsi="Arial Regular" w:cs="Arial Regular"/>
          <w:i w:val="0"/>
          <w:iCs w:val="0"/>
          <w:color w:val="000000" w:themeColor="text1"/>
          <w:sz w:val="22"/>
          <w:szCs w:val="22"/>
          <w:highlight w:val="none"/>
          <w:lang w:val="en-GB"/>
          <w14:textFill>
            <w14:solidFill>
              <w14:schemeClr w14:val="tx1"/>
            </w14:solidFill>
          </w14:textFill>
        </w:rPr>
      </w:pPr>
      <w:bookmarkStart w:id="115" w:name="_Toc133669927"/>
      <w:r>
        <w:rPr>
          <w:rStyle w:val="70"/>
          <w:rFonts w:hint="default" w:ascii="Arial Regular" w:hAnsi="Arial Regular" w:cs="Arial Regular"/>
          <w:i w:val="0"/>
          <w:iCs w:val="0"/>
          <w:color w:val="000000" w:themeColor="text1"/>
          <w:sz w:val="22"/>
          <w:szCs w:val="22"/>
          <w:highlight w:val="none"/>
          <w:lang w:val="en-GB"/>
          <w14:textFill>
            <w14:solidFill>
              <w14:schemeClr w14:val="tx1"/>
            </w14:solidFill>
          </w14:textFill>
        </w:rPr>
        <w:t>Not applicable because the project is not a special category.</w:t>
      </w:r>
    </w:p>
    <w:p w14:paraId="53B56C00">
      <w:pPr>
        <w:pStyle w:val="2"/>
        <w:rPr>
          <w:highlight w:val="none"/>
        </w:rPr>
      </w:pPr>
      <w:bookmarkStart w:id="116" w:name="_Toc1258823787"/>
      <w:r>
        <w:rPr>
          <w:highlight w:val="none"/>
        </w:rPr>
        <w:t>Grouped Projects</w:t>
      </w:r>
      <w:bookmarkEnd w:id="115"/>
      <w:bookmarkEnd w:id="116"/>
    </w:p>
    <w:p w14:paraId="1C6641C2">
      <w:pPr>
        <w:rPr>
          <w:rFonts w:hint="default"/>
          <w:i w:val="0"/>
          <w:iCs w:val="0"/>
          <w:highlight w:val="none"/>
          <w:lang w:val="es-ES"/>
        </w:rPr>
      </w:pPr>
      <w:r>
        <w:rPr>
          <w:rFonts w:hint="default"/>
          <w:i w:val="0"/>
          <w:iCs w:val="0"/>
          <w:highlight w:val="none"/>
          <w:lang w:val="es-ES"/>
        </w:rPr>
        <w:t>Not applicable because it’s not grouped project.</w:t>
      </w:r>
    </w:p>
    <w:p w14:paraId="58688830">
      <w:pPr>
        <w:pStyle w:val="2"/>
        <w:rPr>
          <w:highlight w:val="none"/>
        </w:rPr>
      </w:pPr>
      <w:bookmarkStart w:id="117" w:name="_Toc42497865"/>
      <w:r>
        <w:rPr>
          <w:highlight w:val="none"/>
        </w:rPr>
        <w:t>Implementation of the project</w:t>
      </w:r>
      <w:bookmarkEnd w:id="117"/>
    </w:p>
    <w:p w14:paraId="4D0A00D4">
      <w:pPr>
        <w:pStyle w:val="3"/>
        <w:rPr>
          <w:highlight w:val="none"/>
        </w:rPr>
      </w:pPr>
      <w:r>
        <w:rPr>
          <w:highlight w:val="none"/>
        </w:rPr>
        <w:t xml:space="preserve"> </w:t>
      </w:r>
      <w:bookmarkStart w:id="118" w:name="_Toc1297046251"/>
      <w:r>
        <w:rPr>
          <w:highlight w:val="none"/>
        </w:rPr>
        <w:t>Implementation status of the project</w:t>
      </w:r>
      <w:bookmarkEnd w:id="118"/>
    </w:p>
    <w:p w14:paraId="06E3EC11">
      <w:pPr>
        <w:pStyle w:val="35"/>
        <w:numPr>
          <w:ilvl w:val="0"/>
          <w:numId w:val="12"/>
        </w:numPr>
        <w:rPr>
          <w:i/>
          <w:iCs/>
          <w:highlight w:val="none"/>
        </w:rPr>
      </w:pPr>
      <w:r>
        <w:rPr>
          <w:i/>
          <w:iCs/>
          <w:highlight w:val="none"/>
        </w:rPr>
        <w:t>The starting date of operation of the project and, the operation of the project activities during this monitoring period. The description shall include any information on events that may impact the GHG emission reductions or removals and monitoring;</w:t>
      </w:r>
    </w:p>
    <w:p w14:paraId="48571CDD">
      <w:pP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pPr>
      <w: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t>The starting date of operation of the project is 01/0</w:t>
      </w:r>
      <w:r>
        <w:rPr>
          <w:rStyle w:val="70"/>
          <w:rFonts w:hint="default" w:ascii="Arial Regular" w:hAnsi="Arial Regular" w:eastAsia="SimSun" w:cs="Arial Regular"/>
          <w:i w:val="0"/>
          <w:iCs w:val="0"/>
          <w:color w:val="000000" w:themeColor="text1"/>
          <w:sz w:val="22"/>
          <w:szCs w:val="22"/>
          <w:highlight w:val="none"/>
          <w:lang w:val="es-ES"/>
          <w14:textFill>
            <w14:solidFill>
              <w14:schemeClr w14:val="tx1"/>
            </w14:solidFill>
          </w14:textFill>
        </w:rPr>
        <w:t>4</w:t>
      </w:r>
      <w: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t>/201</w:t>
      </w:r>
      <w:r>
        <w:rPr>
          <w:rStyle w:val="70"/>
          <w:rFonts w:hint="default" w:ascii="Arial Regular" w:hAnsi="Arial Regular" w:eastAsia="SimSun" w:cs="Arial Regular"/>
          <w:i w:val="0"/>
          <w:iCs w:val="0"/>
          <w:color w:val="000000" w:themeColor="text1"/>
          <w:sz w:val="22"/>
          <w:szCs w:val="22"/>
          <w:highlight w:val="none"/>
          <w:lang w:val="es-ES"/>
          <w14:textFill>
            <w14:solidFill>
              <w14:schemeClr w14:val="tx1"/>
            </w14:solidFill>
          </w14:textFill>
        </w:rPr>
        <w:t>8</w:t>
      </w:r>
      <w: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t>. There were no events that could impact the reductions or removals of GHG emissions and their monitoring during this monitoring period (since 01/0</w:t>
      </w:r>
      <w:r>
        <w:rPr>
          <w:rStyle w:val="70"/>
          <w:rFonts w:hint="default" w:ascii="Arial Regular" w:hAnsi="Arial Regular" w:eastAsia="SimSun" w:cs="Arial Regular"/>
          <w:i w:val="0"/>
          <w:iCs w:val="0"/>
          <w:color w:val="000000" w:themeColor="text1"/>
          <w:sz w:val="22"/>
          <w:szCs w:val="22"/>
          <w:highlight w:val="none"/>
          <w:lang w:val="es-ES"/>
          <w14:textFill>
            <w14:solidFill>
              <w14:schemeClr w14:val="tx1"/>
            </w14:solidFill>
          </w14:textFill>
        </w:rPr>
        <w:t>4</w:t>
      </w:r>
      <w: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t>/201</w:t>
      </w:r>
      <w:r>
        <w:rPr>
          <w:rStyle w:val="70"/>
          <w:rFonts w:hint="default" w:ascii="Arial Regular" w:hAnsi="Arial Regular" w:eastAsia="SimSun" w:cs="Arial Regular"/>
          <w:i w:val="0"/>
          <w:iCs w:val="0"/>
          <w:color w:val="000000" w:themeColor="text1"/>
          <w:sz w:val="22"/>
          <w:szCs w:val="22"/>
          <w:highlight w:val="none"/>
          <w:lang w:val="es-ES"/>
          <w14:textFill>
            <w14:solidFill>
              <w14:schemeClr w14:val="tx1"/>
            </w14:solidFill>
          </w14:textFill>
        </w:rPr>
        <w:t>8</w:t>
      </w:r>
      <w: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t xml:space="preserve"> to 31/0</w:t>
      </w:r>
      <w:r>
        <w:rPr>
          <w:rStyle w:val="70"/>
          <w:rFonts w:hint="default" w:ascii="Arial Regular" w:hAnsi="Arial Regular" w:eastAsia="SimSun" w:cs="Arial Regular"/>
          <w:i w:val="0"/>
          <w:iCs w:val="0"/>
          <w:color w:val="000000" w:themeColor="text1"/>
          <w:sz w:val="22"/>
          <w:szCs w:val="22"/>
          <w:highlight w:val="none"/>
          <w:lang w:val="es-ES"/>
          <w14:textFill>
            <w14:solidFill>
              <w14:schemeClr w14:val="tx1"/>
            </w14:solidFill>
          </w14:textFill>
        </w:rPr>
        <w:t>3</w:t>
      </w:r>
      <w: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t>/2023).</w:t>
      </w:r>
    </w:p>
    <w:p w14:paraId="3E6D196D">
      <w:pPr>
        <w:pStyle w:val="35"/>
        <w:numPr>
          <w:ilvl w:val="0"/>
          <w:numId w:val="12"/>
        </w:numPr>
        <w:rPr>
          <w:i/>
          <w:iCs/>
          <w:highlight w:val="none"/>
        </w:rPr>
      </w:pPr>
      <w:r>
        <w:rPr>
          <w:i/>
          <w:iCs/>
          <w:highlight w:val="none"/>
        </w:rPr>
        <w:t>For project activities that consist of more than one site, the report shall clearly describe the status of implementation and starting date of operation for each site;</w:t>
      </w:r>
    </w:p>
    <w:p w14:paraId="0AA1D638">
      <w:pP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pPr>
      <w: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t>Not applicable because the project is not in more than one site.</w:t>
      </w:r>
    </w:p>
    <w:p w14:paraId="2D20F367">
      <w:pPr>
        <w:pStyle w:val="35"/>
        <w:numPr>
          <w:ilvl w:val="0"/>
          <w:numId w:val="12"/>
        </w:numPr>
        <w:rPr>
          <w:i/>
          <w:iCs/>
          <w:highlight w:val="none"/>
        </w:rPr>
      </w:pPr>
      <w:r>
        <w:rPr>
          <w:i/>
          <w:iCs/>
          <w:highlight w:val="none"/>
        </w:rPr>
        <w:t>The information regarding the actual operation of the project during this monitoring period, including information on special events, for example overhaul times, downtimes of equipment, exchange of equipment, etc.;</w:t>
      </w:r>
    </w:p>
    <w:p w14:paraId="02D2A61A">
      <w:pP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pPr>
      <w: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t>There were no special events during this monitoring period.</w:t>
      </w:r>
    </w:p>
    <w:p w14:paraId="03CEDF9D">
      <w:pPr>
        <w:pStyle w:val="35"/>
        <w:ind w:left="0"/>
        <w:rPr>
          <w:i/>
          <w:iCs/>
          <w:highlight w:val="none"/>
        </w:rPr>
      </w:pPr>
    </w:p>
    <w:p w14:paraId="5495A937">
      <w:pPr>
        <w:pStyle w:val="35"/>
        <w:numPr>
          <w:ilvl w:val="0"/>
          <w:numId w:val="12"/>
        </w:numPr>
        <w:rPr>
          <w:i/>
          <w:iCs/>
          <w:highlight w:val="none"/>
        </w:rPr>
      </w:pPr>
      <w:r>
        <w:rPr>
          <w:i/>
          <w:iCs/>
          <w:highlight w:val="none"/>
        </w:rPr>
        <w:t>A brief description of: (i) events or situations that occurred during the monitoring period, which may impact the applicability of the methodology, and (ii) how the issues resulting from these events or situations are being addressed.</w:t>
      </w:r>
    </w:p>
    <w:p w14:paraId="2D6EEB1B">
      <w:pP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pPr>
      <w: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t>There were no special events, situations or issues during this monitoring period.</w:t>
      </w:r>
    </w:p>
    <w:p w14:paraId="08B209C3">
      <w:pPr>
        <w:rPr>
          <w:rStyle w:val="70"/>
          <w:rFonts w:hint="default" w:ascii="Arial Regular" w:hAnsi="Arial Regular" w:eastAsia="SimSun" w:cs="Arial Regular"/>
          <w:i w:val="0"/>
          <w:iCs w:val="0"/>
          <w:color w:val="000000" w:themeColor="text1"/>
          <w:sz w:val="22"/>
          <w:szCs w:val="22"/>
          <w:highlight w:val="none"/>
          <w:lang w:val="en-GB"/>
          <w14:textFill>
            <w14:solidFill>
              <w14:schemeClr w14:val="tx1"/>
            </w14:solidFill>
          </w14:textFill>
        </w:rPr>
      </w:pPr>
    </w:p>
    <w:p w14:paraId="1E00C654">
      <w:pPr>
        <w:pStyle w:val="3"/>
        <w:rPr>
          <w:highlight w:val="none"/>
        </w:rPr>
      </w:pPr>
      <w:bookmarkStart w:id="119" w:name="_Toc349839860"/>
      <w:r>
        <w:rPr>
          <w:highlight w:val="none"/>
        </w:rPr>
        <w:t>Revision of monitoring plan</w:t>
      </w:r>
      <w:bookmarkEnd w:id="119"/>
    </w:p>
    <w:p w14:paraId="33C82475">
      <w:pPr>
        <w:rPr>
          <w:i w:val="0"/>
          <w:iCs w:val="0"/>
          <w:highlight w:val="none"/>
        </w:rPr>
      </w:pPr>
      <w:r>
        <w:rPr>
          <w:rFonts w:hint="default"/>
          <w:i w:val="0"/>
          <w:iCs w:val="0"/>
          <w:highlight w:val="none"/>
        </w:rPr>
        <w:t>Not applicable because this is the first monitoring period.</w:t>
      </w:r>
    </w:p>
    <w:p w14:paraId="0B39F749">
      <w:pPr>
        <w:pStyle w:val="3"/>
        <w:rPr>
          <w:highlight w:val="none"/>
        </w:rPr>
      </w:pPr>
      <w:bookmarkStart w:id="120" w:name="_Toc2095785181"/>
      <w:r>
        <w:rPr>
          <w:highlight w:val="none"/>
        </w:rPr>
        <w:t>Request for deviation applied to this monitoring period</w:t>
      </w:r>
      <w:bookmarkEnd w:id="120"/>
    </w:p>
    <w:p w14:paraId="31711C4B">
      <w:pPr>
        <w:rPr>
          <w:i w:val="0"/>
          <w:iCs w:val="0"/>
          <w:highlight w:val="none"/>
        </w:rPr>
      </w:pPr>
      <w:r>
        <w:rPr>
          <w:rFonts w:hint="default"/>
          <w:i w:val="0"/>
          <w:iCs w:val="0"/>
          <w:highlight w:val="none"/>
        </w:rPr>
        <w:t>Not applicable because this is the first monitoring period.</w:t>
      </w:r>
    </w:p>
    <w:p w14:paraId="359BCF78">
      <w:pPr>
        <w:pStyle w:val="3"/>
        <w:rPr>
          <w:highlight w:val="none"/>
        </w:rPr>
      </w:pPr>
      <w:bookmarkStart w:id="121" w:name="_Toc834758973"/>
      <w:r>
        <w:rPr>
          <w:highlight w:val="none"/>
        </w:rPr>
        <w:t>Notification or request of approval of changes</w:t>
      </w:r>
      <w:bookmarkEnd w:id="121"/>
    </w:p>
    <w:p w14:paraId="16EF4DDE">
      <w:pPr>
        <w:rPr>
          <w:i w:val="0"/>
          <w:iCs w:val="0"/>
          <w:highlight w:val="none"/>
        </w:rPr>
      </w:pPr>
      <w:r>
        <w:rPr>
          <w:rFonts w:hint="default"/>
          <w:i w:val="0"/>
          <w:iCs w:val="0"/>
          <w:highlight w:val="none"/>
        </w:rPr>
        <w:t>Not applicable because this is the first monitoring period.</w:t>
      </w:r>
    </w:p>
    <w:p w14:paraId="7F6C4AA8">
      <w:pPr>
        <w:pStyle w:val="2"/>
        <w:rPr>
          <w:highlight w:val="none"/>
        </w:rPr>
      </w:pPr>
      <w:bookmarkStart w:id="122" w:name="_Toc283393360"/>
      <w:r>
        <w:rPr>
          <w:highlight w:val="none"/>
        </w:rPr>
        <w:t>Monitoring system</w:t>
      </w:r>
      <w:bookmarkEnd w:id="122"/>
    </w:p>
    <w:p w14:paraId="1A0FED34">
      <w:pPr>
        <w:pStyle w:val="3"/>
        <w:rPr>
          <w:highlight w:val="none"/>
        </w:rPr>
      </w:pPr>
      <w:bookmarkStart w:id="123" w:name="_Toc2020956121"/>
      <w:r>
        <w:rPr>
          <w:highlight w:val="none"/>
        </w:rPr>
        <w:t>Description of the monitoring plan</w:t>
      </w:r>
      <w:bookmarkEnd w:id="123"/>
    </w:p>
    <w:p w14:paraId="04DA0FFC">
      <w:pPr>
        <w:rPr>
          <w:highlight w:val="none"/>
          <w:lang w:val="en-US"/>
        </w:rPr>
      </w:pPr>
      <w:r>
        <w:rPr>
          <w:rFonts w:hint="default"/>
          <w:highlight w:val="none"/>
          <w:lang w:val="es-ES"/>
        </w:rPr>
        <w:t>Following the BCR Standard, t</w:t>
      </w:r>
      <w:r>
        <w:rPr>
          <w:highlight w:val="none"/>
          <w:lang w:val="en-US"/>
        </w:rPr>
        <w:t>he monitoring plan is designed to ensure that both the project process and all the data required to calculate the GHG mitigation are constantly updated and allow the project to be more efficient, detect possible problems or threats and implement contingency and improvement plans when required.</w:t>
      </w:r>
    </w:p>
    <w:p w14:paraId="30534316">
      <w:pPr>
        <w:numPr>
          <w:ilvl w:val="0"/>
          <w:numId w:val="13"/>
        </w:numPr>
        <w:snapToGrid w:val="0"/>
        <w:ind w:left="425" w:leftChars="0" w:hanging="425" w:firstLineChars="0"/>
        <w:rPr>
          <w:rFonts w:hint="default" w:ascii="Arial Bold" w:hAnsi="Arial Bold" w:cs="Arial Bold"/>
          <w:b/>
          <w:bCs/>
          <w:highlight w:val="none"/>
          <w:lang w:val="en-US"/>
        </w:rPr>
      </w:pPr>
      <w:r>
        <w:rPr>
          <w:rFonts w:hint="default" w:ascii="Arial Bold" w:hAnsi="Arial Bold" w:cs="Arial Bold"/>
          <w:b/>
          <w:bCs/>
          <w:highlight w:val="none"/>
          <w:lang w:val="en-US"/>
        </w:rPr>
        <w:t>Project boundary monitoring</w:t>
      </w:r>
    </w:p>
    <w:p w14:paraId="0D22FA40">
      <w:pPr>
        <w:numPr>
          <w:ilvl w:val="0"/>
          <w:numId w:val="0"/>
        </w:numPr>
        <w:snapToGrid w:val="0"/>
        <w:spacing w:before="120" w:after="240" w:line="276" w:lineRule="auto"/>
        <w:jc w:val="both"/>
        <w:rPr>
          <w:highlight w:val="none"/>
          <w:lang w:val="en-US" w:eastAsia="es-ES"/>
        </w:rPr>
      </w:pPr>
      <w:r>
        <w:rPr>
          <w:rFonts w:hint="eastAsia"/>
          <w:highlight w:val="none"/>
          <w:lang w:val="en-US" w:eastAsia="es-ES"/>
        </w:rPr>
        <w:t>The project boundary is defined as the physical, geographical location of the following:</w:t>
      </w:r>
    </w:p>
    <w:p w14:paraId="0BF24B86">
      <w:pPr>
        <w:pStyle w:val="35"/>
        <w:numPr>
          <w:ilvl w:val="0"/>
          <w:numId w:val="14"/>
        </w:numPr>
        <w:spacing w:before="0" w:after="0"/>
        <w:ind w:left="0" w:firstLine="426"/>
        <w:rPr>
          <w:highlight w:val="none"/>
          <w:lang w:val="en-US"/>
        </w:rPr>
      </w:pPr>
      <w:r>
        <w:rPr>
          <w:highlight w:val="none"/>
          <w:lang w:val="en-US"/>
        </w:rPr>
        <w:t>The landfill sites, where the solid waste would have been disposed and the methane emission occurs in absence of the proposed project activity;</w:t>
      </w:r>
    </w:p>
    <w:p w14:paraId="56FDA44A">
      <w:pPr>
        <w:pStyle w:val="35"/>
        <w:numPr>
          <w:ilvl w:val="0"/>
          <w:numId w:val="14"/>
        </w:numPr>
        <w:spacing w:before="0" w:after="0"/>
        <w:ind w:left="0" w:firstLine="426"/>
        <w:rPr>
          <w:highlight w:val="none"/>
          <w:lang w:val="en-US"/>
        </w:rPr>
      </w:pPr>
      <w:r>
        <w:rPr>
          <w:highlight w:val="none"/>
          <w:lang w:val="en-US"/>
        </w:rPr>
        <w:t>The composting facility, where the treatment of biomass through composting takes place;</w:t>
      </w:r>
    </w:p>
    <w:p w14:paraId="2CDCC1AA">
      <w:pPr>
        <w:pStyle w:val="35"/>
        <w:numPr>
          <w:ilvl w:val="0"/>
          <w:numId w:val="14"/>
        </w:numPr>
        <w:spacing w:before="0" w:after="0"/>
        <w:ind w:left="0" w:firstLine="426"/>
        <w:rPr>
          <w:highlight w:val="none"/>
          <w:lang w:val="en-US"/>
        </w:rPr>
      </w:pPr>
      <w:r>
        <w:rPr>
          <w:highlight w:val="none"/>
          <w:lang w:val="en-US"/>
        </w:rPr>
        <w:t>Consumer places where the compost is handled, disposed, submitted to soil application;</w:t>
      </w:r>
    </w:p>
    <w:p w14:paraId="2DD54B8A">
      <w:pPr>
        <w:pStyle w:val="35"/>
        <w:numPr>
          <w:ilvl w:val="0"/>
          <w:numId w:val="14"/>
        </w:numPr>
        <w:spacing w:before="0" w:after="0"/>
        <w:ind w:left="0" w:firstLine="426"/>
        <w:rPr>
          <w:highlight w:val="none"/>
          <w:lang w:val="en-US"/>
        </w:rPr>
      </w:pPr>
      <w:r>
        <w:rPr>
          <w:highlight w:val="none"/>
          <w:lang w:val="en-US"/>
        </w:rPr>
        <w:t>And the itineraries between b and c where the transportation of compost occurs. It should be noted that the waste transportation itineraries between a &amp; b are not considered as the project site is located next to the landfill site.</w:t>
      </w:r>
    </w:p>
    <w:p w14:paraId="2D5F80B3">
      <w:pPr>
        <w:numPr>
          <w:ilvl w:val="0"/>
          <w:numId w:val="0"/>
        </w:numPr>
        <w:snapToGrid w:val="0"/>
        <w:spacing w:before="120" w:after="240" w:line="276" w:lineRule="auto"/>
        <w:jc w:val="both"/>
        <w:rPr>
          <w:rFonts w:hint="eastAsia"/>
          <w:highlight w:val="none"/>
          <w:lang w:val="en-US" w:eastAsia="es-ES"/>
        </w:rPr>
      </w:pPr>
      <w:r>
        <w:rPr>
          <w:rFonts w:hint="eastAsia"/>
          <w:highlight w:val="none"/>
          <w:lang w:val="en-US" w:eastAsia="es-ES"/>
        </w:rPr>
        <w:t>As part of the usual operation of the installations</w:t>
      </w:r>
      <w:r>
        <w:rPr>
          <w:rFonts w:hint="default"/>
          <w:highlight w:val="none"/>
          <w:lang w:val="en-US" w:eastAsia="es-ES"/>
        </w:rPr>
        <w:t>,</w:t>
      </w:r>
      <w:r>
        <w:rPr>
          <w:rFonts w:hint="eastAsia"/>
          <w:highlight w:val="none"/>
          <w:lang w:val="en-US" w:eastAsia="es-ES"/>
        </w:rPr>
        <w:t xml:space="preserve"> the project boundary monitoring consists </w:t>
      </w:r>
      <w:r>
        <w:rPr>
          <w:rFonts w:hint="default"/>
          <w:highlight w:val="none"/>
          <w:lang w:val="en-US" w:eastAsia="es-ES"/>
        </w:rPr>
        <w:t>of</w:t>
      </w:r>
      <w:r>
        <w:rPr>
          <w:rFonts w:hint="eastAsia"/>
          <w:highlight w:val="none"/>
          <w:lang w:val="en-US" w:eastAsia="es-ES"/>
        </w:rPr>
        <w:t xml:space="preserve"> a surveillance and control service that controls that there are no interferences with regular activity by any external or uncontro</w:t>
      </w:r>
      <w:r>
        <w:rPr>
          <w:rFonts w:hint="default"/>
          <w:highlight w:val="none"/>
          <w:lang w:val="en-US" w:eastAsia="es-ES"/>
        </w:rPr>
        <w:t>lled</w:t>
      </w:r>
      <w:r>
        <w:rPr>
          <w:rFonts w:hint="eastAsia"/>
          <w:highlight w:val="none"/>
          <w:lang w:val="en-US" w:eastAsia="es-ES"/>
        </w:rPr>
        <w:t xml:space="preserve"> element within the project boundary.</w:t>
      </w:r>
    </w:p>
    <w:p w14:paraId="50C5B721">
      <w:pPr>
        <w:numPr>
          <w:ilvl w:val="0"/>
          <w:numId w:val="0"/>
        </w:numPr>
        <w:snapToGrid w:val="0"/>
        <w:spacing w:before="120" w:after="240" w:line="276" w:lineRule="auto"/>
        <w:jc w:val="both"/>
        <w:rPr>
          <w:highlight w:val="none"/>
          <w:lang w:val="en-US"/>
        </w:rPr>
      </w:pPr>
      <w:r>
        <w:rPr>
          <w:rFonts w:hint="eastAsia"/>
          <w:highlight w:val="none"/>
          <w:lang w:val="en-US" w:eastAsia="es-ES"/>
        </w:rPr>
        <w:t>As established in the</w:t>
      </w:r>
      <w:r>
        <w:rPr>
          <w:rFonts w:hint="default"/>
          <w:highlight w:val="none"/>
          <w:lang w:val="en-US" w:eastAsia="es-ES"/>
        </w:rPr>
        <w:t xml:space="preserve"> applicability</w:t>
      </w:r>
      <w:r>
        <w:rPr>
          <w:rFonts w:hint="eastAsia"/>
          <w:highlight w:val="none"/>
          <w:lang w:val="en-US" w:eastAsia="es-ES"/>
        </w:rPr>
        <w:t xml:space="preserve"> conditions of the methodology</w:t>
      </w:r>
      <w:r>
        <w:rPr>
          <w:rFonts w:hint="default"/>
          <w:highlight w:val="none"/>
          <w:lang w:val="en-US" w:eastAsia="es-ES"/>
        </w:rPr>
        <w:t xml:space="preserve"> AMS.III.F</w:t>
      </w:r>
      <w:r>
        <w:rPr>
          <w:rFonts w:hint="eastAsia"/>
          <w:highlight w:val="none"/>
          <w:lang w:val="en-US" w:eastAsia="es-ES"/>
        </w:rPr>
        <w:t>, the project cannot exceed 200 km in radius</w:t>
      </w:r>
      <w:r>
        <w:rPr>
          <w:rFonts w:hint="default"/>
          <w:highlight w:val="none"/>
          <w:lang w:val="en-US" w:eastAsia="es-ES"/>
        </w:rPr>
        <w:t xml:space="preserve">. Hence, </w:t>
      </w:r>
      <w:r>
        <w:rPr>
          <w:rFonts w:hint="eastAsia"/>
          <w:highlight w:val="none"/>
          <w:lang w:val="en-US" w:eastAsia="es-ES"/>
        </w:rPr>
        <w:t>the location of the waste generators is analyzed annually to ensure that this distance is not exceeded. This analysis will be carried out every time a new operator wants to work with Worms Argentina S.A., being an essential condition to be one of our suppliers.</w:t>
      </w:r>
    </w:p>
    <w:p w14:paraId="465C1E9C">
      <w:pPr>
        <w:numPr>
          <w:ilvl w:val="0"/>
          <w:numId w:val="13"/>
        </w:numPr>
        <w:snapToGrid w:val="0"/>
        <w:ind w:left="425" w:leftChars="0" w:hanging="425" w:firstLineChars="0"/>
        <w:rPr>
          <w:rFonts w:hint="default" w:ascii="Arial Bold" w:hAnsi="Arial Bold" w:cs="Arial Bold"/>
          <w:b/>
          <w:bCs/>
          <w:highlight w:val="none"/>
          <w:lang w:val="en-US"/>
        </w:rPr>
      </w:pPr>
      <w:r>
        <w:rPr>
          <w:rFonts w:hint="default" w:ascii="Arial Bold" w:hAnsi="Arial Bold" w:cs="Arial Bold"/>
          <w:b/>
          <w:bCs/>
          <w:highlight w:val="none"/>
          <w:lang w:val="en-US"/>
        </w:rPr>
        <w:t>Monitoring of the execution of project activities</w:t>
      </w:r>
    </w:p>
    <w:p w14:paraId="3BFAD9DA">
      <w:pPr>
        <w:numPr>
          <w:ilvl w:val="0"/>
          <w:numId w:val="0"/>
        </w:numPr>
        <w:snapToGrid w:val="0"/>
        <w:spacing w:before="120" w:after="240" w:line="276" w:lineRule="auto"/>
        <w:jc w:val="both"/>
        <w:rPr>
          <w:highlight w:val="none"/>
          <w:lang w:val="en-US" w:eastAsia="es-ES"/>
        </w:rPr>
      </w:pPr>
      <w:r>
        <w:rPr>
          <w:rFonts w:hint="eastAsia"/>
          <w:highlight w:val="none"/>
          <w:lang w:val="en-US" w:eastAsia="es-ES"/>
        </w:rPr>
        <w:t>To ensure a correct execution of the project activities there are a few significant aspects:</w:t>
      </w:r>
    </w:p>
    <w:tbl>
      <w:tblPr>
        <w:tblStyle w:val="24"/>
        <w:tblW w:w="0" w:type="auto"/>
        <w:tblInd w:w="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6769"/>
      </w:tblGrid>
      <w:tr w14:paraId="4ABFF1BB">
        <w:trPr>
          <w:trHeight w:val="90" w:hRule="atLeast"/>
        </w:trPr>
        <w:tc>
          <w:tcPr>
            <w:tcW w:w="1642" w:type="dxa"/>
            <w:shd w:val="clear" w:color="auto" w:fill="FFFFFF" w:themeFill="background1"/>
          </w:tcPr>
          <w:p w14:paraId="0B351F4F">
            <w:pPr>
              <w:keepNext w:val="0"/>
              <w:keepLines w:val="0"/>
              <w:pageBreakBefore w:val="0"/>
              <w:widowControl/>
              <w:numPr>
                <w:ilvl w:val="0"/>
                <w:numId w:val="0"/>
              </w:numPr>
              <w:kinsoku/>
              <w:wordWrap/>
              <w:overflowPunct/>
              <w:topLinePunct w:val="0"/>
              <w:autoSpaceDE/>
              <w:autoSpaceDN/>
              <w:bidi w:val="0"/>
              <w:adjustRightInd/>
              <w:snapToGrid w:val="0"/>
              <w:spacing w:before="0" w:after="0" w:line="276" w:lineRule="auto"/>
              <w:jc w:val="both"/>
              <w:textAlignment w:val="auto"/>
              <w:rPr>
                <w:highlight w:val="none"/>
                <w:lang w:val="en-US" w:eastAsia="es-ES"/>
              </w:rPr>
            </w:pPr>
            <w:r>
              <w:rPr>
                <w:rFonts w:hint="eastAsia"/>
                <w:highlight w:val="none"/>
                <w:lang w:val="en-US" w:eastAsia="es-ES"/>
              </w:rPr>
              <w:t>Parameter</w:t>
            </w:r>
          </w:p>
        </w:tc>
        <w:tc>
          <w:tcPr>
            <w:tcW w:w="6769" w:type="dxa"/>
            <w:shd w:val="clear" w:color="auto" w:fill="FFFFFF" w:themeFill="background1"/>
          </w:tcPr>
          <w:p w14:paraId="61658604">
            <w:pPr>
              <w:keepNext w:val="0"/>
              <w:keepLines w:val="0"/>
              <w:pageBreakBefore w:val="0"/>
              <w:widowControl/>
              <w:numPr>
                <w:ilvl w:val="0"/>
                <w:numId w:val="0"/>
              </w:numPr>
              <w:kinsoku/>
              <w:wordWrap/>
              <w:overflowPunct/>
              <w:topLinePunct w:val="0"/>
              <w:autoSpaceDE/>
              <w:autoSpaceDN/>
              <w:bidi w:val="0"/>
              <w:adjustRightInd/>
              <w:snapToGrid w:val="0"/>
              <w:spacing w:before="0" w:after="0" w:line="276" w:lineRule="auto"/>
              <w:jc w:val="both"/>
              <w:textAlignment w:val="auto"/>
              <w:rPr>
                <w:highlight w:val="none"/>
                <w:lang w:val="en-US" w:eastAsia="es-ES"/>
              </w:rPr>
            </w:pPr>
            <w:r>
              <w:rPr>
                <w:rFonts w:hint="default"/>
                <w:highlight w:val="none"/>
                <w:lang w:val="en-US" w:eastAsia="es-ES"/>
              </w:rPr>
              <w:t xml:space="preserve">Monitoring </w:t>
            </w:r>
            <w:r>
              <w:rPr>
                <w:rFonts w:hint="eastAsia"/>
                <w:highlight w:val="none"/>
                <w:lang w:val="en-US" w:eastAsia="es-ES"/>
              </w:rPr>
              <w:t>action</w:t>
            </w:r>
          </w:p>
        </w:tc>
      </w:tr>
      <w:tr w14:paraId="61C69449">
        <w:trPr>
          <w:trHeight w:val="656" w:hRule="atLeast"/>
        </w:trPr>
        <w:tc>
          <w:tcPr>
            <w:tcW w:w="1642" w:type="dxa"/>
            <w:vAlign w:val="center"/>
          </w:tcPr>
          <w:p w14:paraId="548750FE">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jc w:val="both"/>
              <w:textAlignment w:val="auto"/>
              <w:rPr>
                <w:rFonts w:hint="default"/>
                <w:highlight w:val="none"/>
                <w:lang w:val="en-US" w:eastAsia="es-ES"/>
              </w:rPr>
            </w:pPr>
            <w:r>
              <w:rPr>
                <w:rFonts w:hint="default"/>
                <w:highlight w:val="none"/>
                <w:lang w:val="en-US" w:eastAsia="es-ES"/>
              </w:rPr>
              <w:t>Distance of the suppliers</w:t>
            </w:r>
          </w:p>
        </w:tc>
        <w:tc>
          <w:tcPr>
            <w:tcW w:w="6769" w:type="dxa"/>
            <w:vAlign w:val="center"/>
          </w:tcPr>
          <w:p w14:paraId="061C4FC0">
            <w:pPr>
              <w:numPr>
                <w:ilvl w:val="0"/>
                <w:numId w:val="0"/>
              </w:numPr>
              <w:snapToGrid w:val="0"/>
              <w:spacing w:before="120" w:after="240" w:line="276" w:lineRule="auto"/>
              <w:jc w:val="both"/>
              <w:rPr>
                <w:rFonts w:hint="default"/>
                <w:highlight w:val="none"/>
                <w:lang w:val="en-US" w:eastAsia="es-ES"/>
              </w:rPr>
            </w:pPr>
            <w:r>
              <w:rPr>
                <w:rFonts w:hint="eastAsia"/>
                <w:highlight w:val="none"/>
                <w:lang w:val="en-US" w:eastAsia="es-ES"/>
              </w:rPr>
              <w:t>As established in the</w:t>
            </w:r>
            <w:r>
              <w:rPr>
                <w:rFonts w:hint="default"/>
                <w:highlight w:val="none"/>
                <w:lang w:val="en-US" w:eastAsia="es-ES"/>
              </w:rPr>
              <w:t xml:space="preserve"> applicability</w:t>
            </w:r>
            <w:r>
              <w:rPr>
                <w:rFonts w:hint="eastAsia"/>
                <w:highlight w:val="none"/>
                <w:lang w:val="en-US" w:eastAsia="es-ES"/>
              </w:rPr>
              <w:t xml:space="preserve"> conditions of the methodology</w:t>
            </w:r>
            <w:r>
              <w:rPr>
                <w:rFonts w:hint="default"/>
                <w:highlight w:val="none"/>
                <w:lang w:val="en-US" w:eastAsia="es-ES"/>
              </w:rPr>
              <w:t xml:space="preserve"> AMS.III.F</w:t>
            </w:r>
            <w:r>
              <w:rPr>
                <w:rFonts w:hint="eastAsia"/>
                <w:highlight w:val="none"/>
                <w:lang w:val="en-US" w:eastAsia="es-ES"/>
              </w:rPr>
              <w:t>, the project cannot exceed 200 km in radius</w:t>
            </w:r>
            <w:r>
              <w:rPr>
                <w:rFonts w:hint="default"/>
                <w:highlight w:val="none"/>
                <w:lang w:val="en-US" w:eastAsia="es-ES"/>
              </w:rPr>
              <w:t xml:space="preserve">. Hence, </w:t>
            </w:r>
            <w:r>
              <w:rPr>
                <w:rFonts w:hint="eastAsia"/>
                <w:highlight w:val="none"/>
                <w:lang w:val="en-US" w:eastAsia="es-ES"/>
              </w:rPr>
              <w:t>the location of the waste generators is analyzed annually to ensure that this distance is not exceeded. This analysis will be carried out every time a new operator wants to work with Worms Argentina S.A., being an essential condition to be one of our suppliers.</w:t>
            </w:r>
          </w:p>
        </w:tc>
      </w:tr>
      <w:tr w14:paraId="2CE33F7D">
        <w:trPr>
          <w:trHeight w:val="656" w:hRule="atLeast"/>
        </w:trPr>
        <w:tc>
          <w:tcPr>
            <w:tcW w:w="1642" w:type="dxa"/>
            <w:vAlign w:val="center"/>
          </w:tcPr>
          <w:p w14:paraId="5598ADF6">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jc w:val="both"/>
              <w:textAlignment w:val="auto"/>
              <w:rPr>
                <w:highlight w:val="none"/>
                <w:lang w:val="en-US" w:eastAsia="es-ES"/>
              </w:rPr>
            </w:pPr>
            <w:r>
              <w:rPr>
                <w:rFonts w:hint="eastAsia"/>
                <w:highlight w:val="none"/>
                <w:lang w:val="en-US" w:eastAsia="es-ES"/>
              </w:rPr>
              <w:t xml:space="preserve">Income and </w:t>
            </w:r>
            <w:r>
              <w:rPr>
                <w:rFonts w:hint="default"/>
                <w:highlight w:val="none"/>
                <w:lang w:val="en-US" w:eastAsia="es-ES"/>
              </w:rPr>
              <w:t xml:space="preserve">download </w:t>
            </w:r>
            <w:r>
              <w:rPr>
                <w:rFonts w:hint="eastAsia"/>
                <w:highlight w:val="none"/>
                <w:lang w:val="en-US" w:eastAsia="es-ES"/>
              </w:rPr>
              <w:t>control</w:t>
            </w:r>
          </w:p>
        </w:tc>
        <w:tc>
          <w:tcPr>
            <w:tcW w:w="6769" w:type="dxa"/>
            <w:vAlign w:val="center"/>
          </w:tcPr>
          <w:p w14:paraId="52FDFFEB">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jc w:val="both"/>
              <w:textAlignment w:val="auto"/>
              <w:rPr>
                <w:highlight w:val="none"/>
                <w:lang w:val="en-US" w:eastAsia="es-ES"/>
              </w:rPr>
            </w:pPr>
            <w:r>
              <w:rPr>
                <w:rFonts w:hint="default"/>
                <w:highlight w:val="none"/>
                <w:lang w:val="en-US" w:eastAsia="es-ES"/>
              </w:rPr>
              <w:t xml:space="preserve">- </w:t>
            </w:r>
            <w:r>
              <w:rPr>
                <w:rFonts w:hint="eastAsia"/>
                <w:highlight w:val="none"/>
                <w:lang w:val="en-US" w:eastAsia="es-ES"/>
              </w:rPr>
              <w:t xml:space="preserve">Manifest check: this document includes </w:t>
            </w:r>
            <w:r>
              <w:rPr>
                <w:rFonts w:hint="default"/>
                <w:highlight w:val="none"/>
                <w:lang w:val="en-US" w:eastAsia="es-ES"/>
              </w:rPr>
              <w:t xml:space="preserve">the </w:t>
            </w:r>
            <w:r>
              <w:rPr>
                <w:rFonts w:hint="eastAsia"/>
                <w:highlight w:val="none"/>
                <w:lang w:val="en-US" w:eastAsia="es-ES"/>
              </w:rPr>
              <w:t xml:space="preserve">type of residue (always non-hazardous) and weight control. Weight control will be ensured by the provider with his own scale or by providing with a public scale ticket specifying the cargo weigh. </w:t>
            </w:r>
          </w:p>
          <w:p w14:paraId="649A9D99">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jc w:val="both"/>
              <w:textAlignment w:val="auto"/>
              <w:rPr>
                <w:rFonts w:hint="eastAsia"/>
                <w:highlight w:val="none"/>
                <w:lang w:val="en-US" w:eastAsia="es-ES"/>
              </w:rPr>
            </w:pPr>
            <w:r>
              <w:rPr>
                <w:rFonts w:hint="default"/>
                <w:highlight w:val="none"/>
                <w:lang w:val="en-US" w:eastAsia="es-ES"/>
              </w:rPr>
              <w:t xml:space="preserve">- </w:t>
            </w:r>
            <w:r>
              <w:rPr>
                <w:rFonts w:hint="eastAsia"/>
                <w:highlight w:val="none"/>
                <w:lang w:val="en-US" w:eastAsia="es-ES"/>
              </w:rPr>
              <w:t>Visual inspection: visual inspection of the cargo to compare it with the manifest information.</w:t>
            </w:r>
          </w:p>
          <w:p w14:paraId="6F06F3FE">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jc w:val="both"/>
              <w:textAlignment w:val="auto"/>
              <w:rPr>
                <w:highlight w:val="none"/>
                <w:lang w:val="en-US" w:eastAsia="es-ES"/>
              </w:rPr>
            </w:pPr>
            <w:r>
              <w:rPr>
                <w:rFonts w:hint="default"/>
                <w:highlight w:val="none"/>
                <w:lang w:val="en-US" w:eastAsia="es-ES"/>
              </w:rPr>
              <w:t>- V</w:t>
            </w:r>
            <w:r>
              <w:rPr>
                <w:color w:val="000000"/>
                <w:highlight w:val="none"/>
                <w:lang w:val="en-US"/>
              </w:rPr>
              <w:t>erifying the appearance and characteristics of the waste at times prior to unloading, that is, at the time the load is lowered from the truck. The reception operator is monitored by a trained area manager and remains there making visual contact with the waste to be unloaded.</w:t>
            </w:r>
          </w:p>
        </w:tc>
      </w:tr>
      <w:tr w14:paraId="718F22AC">
        <w:tc>
          <w:tcPr>
            <w:tcW w:w="1642" w:type="dxa"/>
            <w:vAlign w:val="center"/>
          </w:tcPr>
          <w:p w14:paraId="1BB67549">
            <w:pPr>
              <w:keepNext w:val="0"/>
              <w:keepLines w:val="0"/>
              <w:pageBreakBefore w:val="0"/>
              <w:widowControl/>
              <w:numPr>
                <w:ilvl w:val="0"/>
                <w:numId w:val="0"/>
              </w:numPr>
              <w:kinsoku/>
              <w:wordWrap/>
              <w:overflowPunct/>
              <w:topLinePunct w:val="0"/>
              <w:autoSpaceDE/>
              <w:autoSpaceDN/>
              <w:bidi w:val="0"/>
              <w:adjustRightInd/>
              <w:snapToGrid w:val="0"/>
              <w:spacing w:before="0" w:after="0" w:line="0" w:lineRule="atLeast"/>
              <w:jc w:val="both"/>
              <w:textAlignment w:val="auto"/>
              <w:rPr>
                <w:highlight w:val="none"/>
                <w:lang w:val="en-US" w:eastAsia="es-ES"/>
              </w:rPr>
            </w:pPr>
            <w:r>
              <w:rPr>
                <w:rFonts w:hint="eastAsia"/>
                <w:highlight w:val="none"/>
                <w:lang w:val="en-US" w:eastAsia="es-ES"/>
              </w:rPr>
              <w:t>Compost piles control</w:t>
            </w:r>
          </w:p>
        </w:tc>
        <w:tc>
          <w:tcPr>
            <w:tcW w:w="6769" w:type="dxa"/>
            <w:vAlign w:val="center"/>
          </w:tcPr>
          <w:p w14:paraId="676B98C9">
            <w:pPr>
              <w:keepNext w:val="0"/>
              <w:keepLines w:val="0"/>
              <w:pageBreakBefore w:val="0"/>
              <w:widowControl/>
              <w:kinsoku/>
              <w:wordWrap/>
              <w:overflowPunct/>
              <w:topLinePunct w:val="0"/>
              <w:autoSpaceDE/>
              <w:autoSpaceDN/>
              <w:bidi w:val="0"/>
              <w:adjustRightInd/>
              <w:snapToGrid/>
              <w:spacing w:before="0" w:after="0" w:line="0" w:lineRule="atLeast"/>
              <w:textAlignment w:val="auto"/>
              <w:rPr>
                <w:rFonts w:hint="default"/>
                <w:color w:val="000000"/>
                <w:highlight w:val="none"/>
                <w:lang w:val="es-ES"/>
              </w:rPr>
            </w:pPr>
            <w:r>
              <w:rPr>
                <w:rFonts w:hint="default"/>
                <w:highlight w:val="none"/>
                <w:lang w:val="en-US" w:eastAsia="es-ES"/>
              </w:rPr>
              <w:t xml:space="preserve">- </w:t>
            </w:r>
            <w:r>
              <w:rPr>
                <w:rFonts w:hint="eastAsia"/>
                <w:highlight w:val="none"/>
                <w:lang w:val="en-US" w:eastAsia="es-ES"/>
              </w:rPr>
              <w:t xml:space="preserve">Humidity </w:t>
            </w:r>
            <w:r>
              <w:rPr>
                <w:rFonts w:hint="default"/>
                <w:highlight w:val="none"/>
                <w:lang w:val="en-US" w:eastAsia="es-ES"/>
              </w:rPr>
              <w:t xml:space="preserve">field </w:t>
            </w:r>
            <w:r>
              <w:rPr>
                <w:rFonts w:hint="eastAsia"/>
                <w:highlight w:val="none"/>
                <w:lang w:val="en-US" w:eastAsia="es-ES"/>
              </w:rPr>
              <w:t xml:space="preserve">test: </w:t>
            </w:r>
            <w:r>
              <w:rPr>
                <w:color w:val="000000"/>
                <w:highlight w:val="none"/>
                <w:lang w:val="en-US"/>
              </w:rPr>
              <w:t>Periodically, an operator controls taking a sample to verify the correct humidity of the mixture, to decide if it is necessary to irrigate the controlled pile</w:t>
            </w:r>
            <w:r>
              <w:rPr>
                <w:rFonts w:hint="default"/>
                <w:color w:val="000000"/>
                <w:highlight w:val="none"/>
                <w:lang w:val="es-ES"/>
              </w:rPr>
              <w:t>.</w:t>
            </w:r>
          </w:p>
          <w:p w14:paraId="3E1A33EA">
            <w:pPr>
              <w:keepNext w:val="0"/>
              <w:keepLines w:val="0"/>
              <w:pageBreakBefore w:val="0"/>
              <w:widowControl/>
              <w:kinsoku/>
              <w:wordWrap/>
              <w:overflowPunct/>
              <w:topLinePunct w:val="0"/>
              <w:autoSpaceDE/>
              <w:autoSpaceDN/>
              <w:bidi w:val="0"/>
              <w:adjustRightInd/>
              <w:snapToGrid/>
              <w:spacing w:before="0" w:after="0" w:line="0" w:lineRule="atLeast"/>
              <w:textAlignment w:val="auto"/>
              <w:rPr>
                <w:color w:val="000000"/>
                <w:highlight w:val="none"/>
                <w:lang w:val="en-US"/>
              </w:rPr>
            </w:pPr>
            <w:r>
              <w:rPr>
                <w:rFonts w:hint="default"/>
                <w:color w:val="000000"/>
                <w:highlight w:val="none"/>
                <w:lang w:val="es-ES"/>
              </w:rPr>
              <w:t xml:space="preserve">- Temperature. </w:t>
            </w:r>
            <w:r>
              <w:rPr>
                <w:color w:val="000000"/>
                <w:highlight w:val="none"/>
                <w:lang w:val="en-US"/>
              </w:rPr>
              <w:t xml:space="preserve"> controls of the material's temperature continue to be carried out and it must be reported if there are increases that indicate that the fermentation process has not been completely completed. In these cases, the battery must be removed to promote ventilation and avoid unwanted increases in temperature.</w:t>
            </w:r>
          </w:p>
          <w:p w14:paraId="0F450EA7">
            <w:pPr>
              <w:keepNext w:val="0"/>
              <w:keepLines w:val="0"/>
              <w:pageBreakBefore w:val="0"/>
              <w:widowControl/>
              <w:kinsoku/>
              <w:wordWrap/>
              <w:overflowPunct/>
              <w:topLinePunct w:val="0"/>
              <w:autoSpaceDE/>
              <w:autoSpaceDN/>
              <w:bidi w:val="0"/>
              <w:adjustRightInd/>
              <w:snapToGrid/>
              <w:spacing w:before="0" w:after="0" w:line="0" w:lineRule="atLeast"/>
              <w:textAlignment w:val="auto"/>
              <w:rPr>
                <w:rFonts w:hint="default"/>
                <w:color w:val="000000"/>
                <w:highlight w:val="none"/>
                <w:lang w:val="es-ES" w:eastAsia="es-ES"/>
              </w:rPr>
            </w:pPr>
            <w:r>
              <w:rPr>
                <w:color w:val="000000"/>
                <w:highlight w:val="none"/>
                <w:lang w:val="en-US"/>
              </w:rPr>
              <w:t>The supervisor defines the moment of completion of the process by sensory review of the product (smell, color, granulometry, percentage of structuring agent). A dark brown or black homogeneous mass should be obtained, without an unpleasant odor.</w:t>
            </w:r>
          </w:p>
        </w:tc>
      </w:tr>
      <w:tr w14:paraId="43BB0E22">
        <w:tc>
          <w:tcPr>
            <w:tcW w:w="1642" w:type="dxa"/>
            <w:vAlign w:val="center"/>
          </w:tcPr>
          <w:p w14:paraId="5EBD227E">
            <w:pPr>
              <w:keepNext w:val="0"/>
              <w:keepLines w:val="0"/>
              <w:pageBreakBefore w:val="0"/>
              <w:widowControl/>
              <w:numPr>
                <w:ilvl w:val="0"/>
                <w:numId w:val="0"/>
              </w:numPr>
              <w:kinsoku/>
              <w:wordWrap/>
              <w:overflowPunct/>
              <w:topLinePunct w:val="0"/>
              <w:autoSpaceDE/>
              <w:autoSpaceDN/>
              <w:bidi w:val="0"/>
              <w:adjustRightInd/>
              <w:snapToGrid w:val="0"/>
              <w:spacing w:before="0" w:after="0" w:line="0" w:lineRule="atLeast"/>
              <w:jc w:val="both"/>
              <w:textAlignment w:val="auto"/>
              <w:rPr>
                <w:rFonts w:hint="default"/>
                <w:highlight w:val="none"/>
                <w:lang w:val="en-US" w:eastAsia="es-ES"/>
              </w:rPr>
            </w:pPr>
            <w:r>
              <w:rPr>
                <w:rFonts w:hint="default"/>
                <w:highlight w:val="none"/>
                <w:lang w:val="en-US" w:eastAsia="es-ES"/>
              </w:rPr>
              <w:t>Laboratory control</w:t>
            </w:r>
          </w:p>
        </w:tc>
        <w:tc>
          <w:tcPr>
            <w:tcW w:w="6769" w:type="dxa"/>
            <w:vAlign w:val="center"/>
          </w:tcPr>
          <w:p w14:paraId="2ACAA18C">
            <w:pPr>
              <w:numPr>
                <w:ilvl w:val="0"/>
                <w:numId w:val="0"/>
              </w:numPr>
              <w:snapToGrid w:val="0"/>
              <w:spacing w:before="120" w:after="240" w:line="276" w:lineRule="auto"/>
              <w:jc w:val="both"/>
              <w:rPr>
                <w:color w:val="000000"/>
                <w:highlight w:val="none"/>
                <w:lang w:val="en-US"/>
              </w:rPr>
            </w:pPr>
            <w:r>
              <w:rPr>
                <w:rFonts w:hint="default"/>
                <w:highlight w:val="none"/>
                <w:lang w:val="es-ES"/>
              </w:rPr>
              <w:t>In para 33 of AMS.III-F “The operation of composting facilities shall be documented in a quality control program, monitoring the conditions and procedures that ensure the aerobic condition of the waste during the composting process (e.g. temperature and moisture during different composting stages)”. To ensure compliance with this condition, there are a quality control and assurance procedures to ensure the quality of the compost generated,t</w:t>
            </w:r>
            <w:r>
              <w:rPr>
                <w:color w:val="000000"/>
                <w:highlight w:val="none"/>
                <w:lang w:val="en-US"/>
              </w:rPr>
              <w:t>he Company has a Laboratory that fulfills the functions of:</w:t>
            </w:r>
          </w:p>
          <w:p w14:paraId="1A62A247">
            <w:pPr>
              <w:pStyle w:val="35"/>
              <w:keepNext w:val="0"/>
              <w:keepLines w:val="0"/>
              <w:pageBreakBefore w:val="0"/>
              <w:widowControl/>
              <w:numPr>
                <w:ilvl w:val="0"/>
                <w:numId w:val="15"/>
              </w:numPr>
              <w:kinsoku/>
              <w:wordWrap/>
              <w:overflowPunct/>
              <w:topLinePunct w:val="0"/>
              <w:autoSpaceDE/>
              <w:autoSpaceDN/>
              <w:bidi w:val="0"/>
              <w:adjustRightInd/>
              <w:snapToGrid/>
              <w:spacing w:before="0" w:after="0" w:line="0" w:lineRule="atLeast"/>
              <w:textAlignment w:val="auto"/>
              <w:rPr>
                <w:color w:val="000000"/>
                <w:highlight w:val="none"/>
                <w:lang w:val="en-US"/>
              </w:rPr>
            </w:pPr>
            <w:r>
              <w:rPr>
                <w:color w:val="000000"/>
                <w:highlight w:val="none"/>
                <w:lang w:val="en-US"/>
              </w:rPr>
              <w:t>controls of the materials entered</w:t>
            </w:r>
          </w:p>
          <w:p w14:paraId="40394EE8">
            <w:pPr>
              <w:pStyle w:val="35"/>
              <w:keepNext w:val="0"/>
              <w:keepLines w:val="0"/>
              <w:pageBreakBefore w:val="0"/>
              <w:widowControl/>
              <w:numPr>
                <w:ilvl w:val="0"/>
                <w:numId w:val="15"/>
              </w:numPr>
              <w:kinsoku/>
              <w:wordWrap/>
              <w:overflowPunct/>
              <w:topLinePunct w:val="0"/>
              <w:autoSpaceDE/>
              <w:autoSpaceDN/>
              <w:bidi w:val="0"/>
              <w:adjustRightInd/>
              <w:snapToGrid/>
              <w:spacing w:before="0" w:after="0" w:line="0" w:lineRule="atLeast"/>
              <w:textAlignment w:val="auto"/>
              <w:rPr>
                <w:color w:val="000000"/>
                <w:highlight w:val="none"/>
                <w:lang w:val="en-US"/>
              </w:rPr>
            </w:pPr>
            <w:r>
              <w:rPr>
                <w:color w:val="000000"/>
                <w:highlight w:val="none"/>
                <w:lang w:val="en-US"/>
              </w:rPr>
              <w:t>quality controls of products for soil amendment</w:t>
            </w:r>
          </w:p>
          <w:p w14:paraId="79E200AE">
            <w:pPr>
              <w:pStyle w:val="35"/>
              <w:keepNext w:val="0"/>
              <w:keepLines w:val="0"/>
              <w:pageBreakBefore w:val="0"/>
              <w:widowControl/>
              <w:numPr>
                <w:ilvl w:val="0"/>
                <w:numId w:val="15"/>
              </w:numPr>
              <w:kinsoku/>
              <w:wordWrap/>
              <w:overflowPunct/>
              <w:topLinePunct w:val="0"/>
              <w:autoSpaceDE/>
              <w:autoSpaceDN/>
              <w:bidi w:val="0"/>
              <w:adjustRightInd/>
              <w:spacing w:line="0" w:lineRule="atLeast"/>
              <w:textAlignment w:val="auto"/>
              <w:rPr>
                <w:highlight w:val="none"/>
                <w:lang w:val="en-US" w:eastAsia="es-ES"/>
              </w:rPr>
            </w:pPr>
            <w:r>
              <w:rPr>
                <w:color w:val="000000"/>
                <w:highlight w:val="none"/>
                <w:lang w:val="en-US"/>
              </w:rPr>
              <w:t xml:space="preserve">production of </w:t>
            </w:r>
            <w:r>
              <w:rPr>
                <w:i/>
                <w:iCs/>
                <w:color w:val="000000"/>
                <w:highlight w:val="none"/>
                <w:lang w:val="en-US"/>
              </w:rPr>
              <w:t>Trichoderma harzianum</w:t>
            </w:r>
            <w:r>
              <w:rPr>
                <w:color w:val="000000"/>
                <w:highlight w:val="none"/>
                <w:lang w:val="en-US"/>
              </w:rPr>
              <w:t xml:space="preserve"> to improve the composting process and the quality of the products.</w:t>
            </w:r>
          </w:p>
        </w:tc>
      </w:tr>
      <w:tr w14:paraId="4F8FCD99">
        <w:tc>
          <w:tcPr>
            <w:tcW w:w="1642" w:type="dxa"/>
            <w:vAlign w:val="center"/>
          </w:tcPr>
          <w:p w14:paraId="54F965CB">
            <w:pPr>
              <w:keepNext w:val="0"/>
              <w:keepLines w:val="0"/>
              <w:pageBreakBefore w:val="0"/>
              <w:widowControl/>
              <w:numPr>
                <w:ilvl w:val="0"/>
                <w:numId w:val="0"/>
              </w:numPr>
              <w:kinsoku/>
              <w:wordWrap/>
              <w:overflowPunct/>
              <w:topLinePunct w:val="0"/>
              <w:autoSpaceDE/>
              <w:autoSpaceDN/>
              <w:bidi w:val="0"/>
              <w:adjustRightInd/>
              <w:snapToGrid w:val="0"/>
              <w:spacing w:before="0" w:after="0" w:line="0" w:lineRule="atLeast"/>
              <w:jc w:val="both"/>
              <w:textAlignment w:val="auto"/>
              <w:rPr>
                <w:rFonts w:hint="default"/>
                <w:highlight w:val="none"/>
                <w:lang w:val="en-US" w:eastAsia="es-ES"/>
              </w:rPr>
            </w:pPr>
            <w:r>
              <w:rPr>
                <w:rFonts w:hint="default"/>
                <w:highlight w:val="none"/>
                <w:lang w:val="en-US" w:eastAsia="es-ES"/>
              </w:rPr>
              <w:t>Soil Application</w:t>
            </w:r>
          </w:p>
        </w:tc>
        <w:tc>
          <w:tcPr>
            <w:tcW w:w="6769" w:type="dxa"/>
            <w:vAlign w:val="center"/>
          </w:tcPr>
          <w:p w14:paraId="3C3C1553">
            <w:pPr>
              <w:rPr>
                <w:color w:val="000000"/>
                <w:highlight w:val="none"/>
                <w:lang w:val="en-US"/>
              </w:rPr>
            </w:pPr>
            <w:r>
              <w:rPr>
                <w:rFonts w:hint="default"/>
                <w:highlight w:val="none"/>
                <w:lang w:val="en-US" w:eastAsia="es-ES"/>
              </w:rPr>
              <w:t>As per</w:t>
            </w:r>
            <w:r>
              <w:rPr>
                <w:rFonts w:hint="eastAsia"/>
                <w:highlight w:val="none"/>
                <w:lang w:val="en-US" w:eastAsia="es-ES"/>
              </w:rPr>
              <w:t xml:space="preserve"> para 34 of AMS.III.F, “Soil application of the compost in agriculture or related activities will be monitored</w:t>
            </w:r>
            <w:r>
              <w:rPr>
                <w:rFonts w:hint="default"/>
                <w:highlight w:val="none"/>
                <w:lang w:val="en-US" w:eastAsia="es-ES"/>
              </w:rPr>
              <w:t xml:space="preserve">”. As part of Worms Argentina S.A.’s standardized procedure, the sale of compost as a final product is documented. To ensure the quality of the final product, Worms Argentina S.A.’s laboratory makes analysis of humidity, odor, pH, temperature and connectivity. This procedures ensures the quality of the compost final product. Once sold, Worms Argentina S.A, has an process to verify the correct application to the soil carried out by the final buyers. Worms Argentina S.A. is close to its buyers by establishing quality protocols and, as </w:t>
            </w:r>
            <w:r>
              <w:rPr>
                <w:highlight w:val="none"/>
                <w:lang w:val="en-US" w:eastAsia="es-ES"/>
              </w:rPr>
              <w:t>Customer Satisfaction Procedure establishes</w:t>
            </w:r>
            <w:r>
              <w:rPr>
                <w:rFonts w:hint="default"/>
                <w:highlight w:val="none"/>
                <w:lang w:val="en-US" w:eastAsia="es-ES"/>
              </w:rPr>
              <w:t>,</w:t>
            </w:r>
            <w:r>
              <w:rPr>
                <w:highlight w:val="none"/>
                <w:lang w:val="en-US" w:eastAsia="es-ES"/>
              </w:rPr>
              <w:t xml:space="preserve"> </w:t>
            </w:r>
            <w:r>
              <w:rPr>
                <w:rFonts w:hint="default"/>
                <w:highlight w:val="none"/>
                <w:lang w:val="en-US" w:eastAsia="es-ES"/>
              </w:rPr>
              <w:t xml:space="preserve">Worms Argentina S.A. </w:t>
            </w:r>
            <w:r>
              <w:rPr>
                <w:rFonts w:hint="default"/>
                <w:highlight w:val="none"/>
                <w:lang w:val="en-GB"/>
              </w:rPr>
              <w:t>sends a customer satisfaction surveys to all customers after delivery of units. The objetive of this surveys is the determination of the degree of satisfaction and perception regarding the degree of compliance with respect to the services provided.</w:t>
            </w:r>
            <w:r>
              <w:rPr>
                <w:rFonts w:hint="default"/>
                <w:highlight w:val="none"/>
                <w:lang w:val="es-ES"/>
              </w:rPr>
              <w:t xml:space="preserve"> </w:t>
            </w:r>
            <w:r>
              <w:rPr>
                <w:rFonts w:hint="default"/>
                <w:highlight w:val="none"/>
                <w:lang w:val="en-US" w:eastAsia="es-ES"/>
              </w:rPr>
              <w:t>The quality of the final product and the studies made by AACS (</w:t>
            </w:r>
            <w:r>
              <w:rPr>
                <w:rFonts w:hint="default"/>
                <w:highlight w:val="none"/>
                <w:lang w:val="en-US" w:eastAsia="es-ES"/>
              </w:rPr>
              <w:fldChar w:fldCharType="begin"/>
            </w:r>
            <w:r>
              <w:rPr>
                <w:rFonts w:hint="default"/>
                <w:highlight w:val="none"/>
                <w:lang w:val="en-US" w:eastAsia="es-ES"/>
              </w:rPr>
              <w:instrText xml:space="preserve"> HYPERLINK "https://www.argentina.gob.ar/inta/cr-cordoba/cultivos-de-cobertura-y-compost-como-herramientas-agroecologicas-efecto-en-la" </w:instrText>
            </w:r>
            <w:r>
              <w:rPr>
                <w:rFonts w:hint="default"/>
                <w:highlight w:val="none"/>
                <w:lang w:val="en-US" w:eastAsia="es-ES"/>
              </w:rPr>
              <w:fldChar w:fldCharType="separate"/>
            </w:r>
            <w:r>
              <w:rPr>
                <w:rStyle w:val="20"/>
                <w:rFonts w:hint="default"/>
                <w:highlight w:val="none"/>
                <w:lang w:val="en-US" w:eastAsia="es-ES"/>
              </w:rPr>
              <w:t>Asociación  Argentina de Ciencia del Suelo</w:t>
            </w:r>
            <w:r>
              <w:rPr>
                <w:rFonts w:hint="default"/>
                <w:highlight w:val="none"/>
                <w:lang w:val="en-US" w:eastAsia="es-ES"/>
              </w:rPr>
              <w:fldChar w:fldCharType="end"/>
            </w:r>
            <w:r>
              <w:rPr>
                <w:rFonts w:hint="default"/>
                <w:highlight w:val="none"/>
                <w:lang w:val="en-US" w:eastAsia="es-ES"/>
              </w:rPr>
              <w:t>, in spanish), ensure that the application of this kind of compost (with the same characteristics) is perfect to maintain soil fertility and health.</w:t>
            </w:r>
          </w:p>
        </w:tc>
      </w:tr>
    </w:tbl>
    <w:p w14:paraId="590DBF02">
      <w:pPr>
        <w:numPr>
          <w:ilvl w:val="0"/>
          <w:numId w:val="0"/>
        </w:numPr>
        <w:snapToGrid w:val="0"/>
        <w:spacing w:before="120" w:after="240" w:line="276" w:lineRule="auto"/>
        <w:jc w:val="both"/>
        <w:rPr>
          <w:highlight w:val="none"/>
          <w:lang w:val="en-US"/>
        </w:rPr>
      </w:pPr>
    </w:p>
    <w:p w14:paraId="42C29778">
      <w:pPr>
        <w:numPr>
          <w:ilvl w:val="0"/>
          <w:numId w:val="13"/>
        </w:numPr>
        <w:snapToGrid w:val="0"/>
        <w:ind w:left="425" w:leftChars="0" w:hanging="425" w:firstLineChars="0"/>
        <w:rPr>
          <w:rFonts w:hint="default" w:ascii="Arial Bold" w:hAnsi="Arial Bold" w:cs="Arial Bold"/>
          <w:b/>
          <w:bCs/>
          <w:highlight w:val="none"/>
          <w:lang w:val="en-US"/>
        </w:rPr>
      </w:pPr>
      <w:r>
        <w:rPr>
          <w:rFonts w:hint="default" w:ascii="Arial Bold" w:hAnsi="Arial Bold" w:cs="Arial Bold"/>
          <w:b/>
          <w:bCs/>
          <w:highlight w:val="none"/>
          <w:lang w:val="en-US"/>
        </w:rPr>
        <w:t>Monitoring of the quantification of project emission reduction/removals</w:t>
      </w:r>
    </w:p>
    <w:p w14:paraId="330987BF">
      <w:pPr>
        <w:numPr>
          <w:ilvl w:val="0"/>
          <w:numId w:val="0"/>
        </w:numPr>
        <w:snapToGrid w:val="0"/>
        <w:spacing w:before="120" w:after="240" w:line="276" w:lineRule="auto"/>
        <w:jc w:val="both"/>
        <w:rPr>
          <w:rFonts w:hint="default"/>
          <w:highlight w:val="none"/>
          <w:lang w:val="en-US" w:eastAsia="es-ES"/>
        </w:rPr>
      </w:pPr>
      <w:r>
        <w:rPr>
          <w:rFonts w:hint="eastAsia"/>
          <w:highlight w:val="none"/>
          <w:lang w:val="en-US" w:eastAsia="es-ES"/>
        </w:rPr>
        <w:t>Project emission is due to both fuel and electricity consumption as well as the emissions from the composting process itself</w:t>
      </w:r>
      <w:r>
        <w:rPr>
          <w:rFonts w:hint="default"/>
          <w:highlight w:val="none"/>
          <w:lang w:val="en-US" w:eastAsia="es-ES"/>
        </w:rPr>
        <w:t>:</w:t>
      </w:r>
    </w:p>
    <w:tbl>
      <w:tblPr>
        <w:tblStyle w:val="24"/>
        <w:tblW w:w="0" w:type="auto"/>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6673"/>
      </w:tblGrid>
      <w:tr w14:paraId="0CE3AA1E">
        <w:trPr>
          <w:trHeight w:val="90" w:hRule="atLeast"/>
        </w:trPr>
        <w:tc>
          <w:tcPr>
            <w:tcW w:w="1661" w:type="dxa"/>
            <w:shd w:val="clear" w:color="auto" w:fill="FFFFFF" w:themeFill="background1"/>
          </w:tcPr>
          <w:p w14:paraId="2138A6E6">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jc w:val="both"/>
              <w:textAlignment w:val="auto"/>
              <w:rPr>
                <w:highlight w:val="none"/>
                <w:lang w:val="en-US" w:eastAsia="es-ES"/>
              </w:rPr>
            </w:pPr>
            <w:r>
              <w:rPr>
                <w:rFonts w:hint="eastAsia"/>
                <w:highlight w:val="none"/>
                <w:lang w:val="en-US" w:eastAsia="es-ES"/>
              </w:rPr>
              <w:t>Parameter</w:t>
            </w:r>
          </w:p>
        </w:tc>
        <w:tc>
          <w:tcPr>
            <w:tcW w:w="6673" w:type="dxa"/>
            <w:shd w:val="clear" w:color="auto" w:fill="FFFFFF" w:themeFill="background1"/>
          </w:tcPr>
          <w:p w14:paraId="11195D5A">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jc w:val="both"/>
              <w:textAlignment w:val="auto"/>
              <w:rPr>
                <w:highlight w:val="none"/>
                <w:lang w:val="en-US" w:eastAsia="es-ES"/>
              </w:rPr>
            </w:pPr>
            <w:r>
              <w:rPr>
                <w:rFonts w:hint="default"/>
                <w:highlight w:val="none"/>
                <w:lang w:val="en-US" w:eastAsia="es-ES"/>
              </w:rPr>
              <w:t xml:space="preserve">Monitoring </w:t>
            </w:r>
            <w:r>
              <w:rPr>
                <w:rFonts w:hint="eastAsia"/>
                <w:highlight w:val="none"/>
                <w:lang w:val="en-US" w:eastAsia="es-ES"/>
              </w:rPr>
              <w:t>action</w:t>
            </w:r>
          </w:p>
        </w:tc>
      </w:tr>
      <w:tr w14:paraId="09831F45">
        <w:tc>
          <w:tcPr>
            <w:tcW w:w="1661" w:type="dxa"/>
            <w:vAlign w:val="center"/>
          </w:tcPr>
          <w:p w14:paraId="1F7D6831">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jc w:val="both"/>
              <w:textAlignment w:val="auto"/>
              <w:rPr>
                <w:highlight w:val="none"/>
                <w:lang w:val="en-US" w:eastAsia="es-ES"/>
              </w:rPr>
            </w:pPr>
            <w:r>
              <w:rPr>
                <w:rFonts w:hint="eastAsia"/>
                <w:highlight w:val="none"/>
                <w:lang w:val="en-US" w:eastAsia="es-ES"/>
              </w:rPr>
              <w:t>F</w:t>
            </w:r>
            <w:r>
              <w:rPr>
                <w:rFonts w:hint="default"/>
                <w:highlight w:val="none"/>
                <w:lang w:val="en-US" w:eastAsia="es-ES"/>
              </w:rPr>
              <w:t>ossil f</w:t>
            </w:r>
            <w:r>
              <w:rPr>
                <w:rFonts w:hint="eastAsia"/>
                <w:highlight w:val="none"/>
                <w:lang w:val="en-US" w:eastAsia="es-ES"/>
              </w:rPr>
              <w:t>uel consumption</w:t>
            </w:r>
          </w:p>
        </w:tc>
        <w:tc>
          <w:tcPr>
            <w:tcW w:w="6673" w:type="dxa"/>
          </w:tcPr>
          <w:p w14:paraId="69505F3C">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jc w:val="both"/>
              <w:textAlignment w:val="auto"/>
              <w:rPr>
                <w:rFonts w:hint="default"/>
                <w:highlight w:val="none"/>
                <w:lang w:val="en-US" w:eastAsia="es-ES"/>
              </w:rPr>
            </w:pPr>
            <w:r>
              <w:rPr>
                <w:rFonts w:hint="default"/>
                <w:highlight w:val="none"/>
                <w:lang w:val="en-US" w:eastAsia="es-ES"/>
              </w:rPr>
              <w:t>- Control of consumption: based on the quantity of fuel purchased, invoices received will be controlled and correctly recorded.</w:t>
            </w:r>
          </w:p>
          <w:p w14:paraId="1F5EC27E">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jc w:val="both"/>
              <w:textAlignment w:val="auto"/>
              <w:rPr>
                <w:highlight w:val="none"/>
                <w:lang w:val="en-US" w:eastAsia="es-ES"/>
              </w:rPr>
            </w:pPr>
            <w:r>
              <w:rPr>
                <w:rFonts w:hint="default"/>
                <w:highlight w:val="none"/>
                <w:lang w:val="en-US" w:eastAsia="es-ES"/>
              </w:rPr>
              <w:t xml:space="preserve">- </w:t>
            </w:r>
            <w:r>
              <w:rPr>
                <w:rFonts w:hint="eastAsia"/>
                <w:highlight w:val="none"/>
                <w:lang w:val="en-US" w:eastAsia="es-ES"/>
              </w:rPr>
              <w:t>Monitori</w:t>
            </w:r>
            <w:r>
              <w:rPr>
                <w:rFonts w:hint="default"/>
                <w:highlight w:val="none"/>
                <w:lang w:val="en-US" w:eastAsia="es-ES"/>
              </w:rPr>
              <w:t>ng</w:t>
            </w:r>
            <w:r>
              <w:rPr>
                <w:rFonts w:hint="eastAsia"/>
                <w:highlight w:val="none"/>
                <w:lang w:val="en-US" w:eastAsia="es-ES"/>
              </w:rPr>
              <w:t xml:space="preserve"> and periodic control of compost piles to adjust the use of machinery use to flip the piles and that way minimizing the emissions from trucks movement and machinery.</w:t>
            </w:r>
          </w:p>
          <w:p w14:paraId="20660F4B">
            <w:pPr>
              <w:keepNext w:val="0"/>
              <w:keepLines w:val="0"/>
              <w:pageBreakBefore w:val="0"/>
              <w:widowControl/>
              <w:numPr>
                <w:ilvl w:val="0"/>
                <w:numId w:val="0"/>
              </w:numPr>
              <w:tabs>
                <w:tab w:val="left" w:pos="3740"/>
              </w:tabs>
              <w:kinsoku/>
              <w:wordWrap/>
              <w:overflowPunct/>
              <w:topLinePunct w:val="0"/>
              <w:autoSpaceDE/>
              <w:autoSpaceDN/>
              <w:bidi w:val="0"/>
              <w:adjustRightInd/>
              <w:snapToGrid w:val="0"/>
              <w:spacing w:before="0" w:after="0" w:line="240" w:lineRule="auto"/>
              <w:jc w:val="both"/>
              <w:textAlignment w:val="auto"/>
              <w:rPr>
                <w:rFonts w:hint="default"/>
                <w:highlight w:val="none"/>
                <w:lang w:val="en-US" w:eastAsia="es-ES"/>
              </w:rPr>
            </w:pPr>
            <w:r>
              <w:rPr>
                <w:rFonts w:hint="default"/>
                <w:highlight w:val="none"/>
                <w:lang w:val="en-US" w:eastAsia="es-ES"/>
              </w:rPr>
              <w:t xml:space="preserve">- </w:t>
            </w:r>
            <w:r>
              <w:rPr>
                <w:rFonts w:hint="eastAsia"/>
                <w:highlight w:val="none"/>
                <w:lang w:val="en-US" w:eastAsia="es-ES"/>
              </w:rPr>
              <w:t>Number of flips and hours of use of the trucks and machinery base on internal records and suppliers provided information.</w:t>
            </w:r>
          </w:p>
        </w:tc>
      </w:tr>
      <w:tr w14:paraId="6F3E09CE">
        <w:trPr>
          <w:trHeight w:val="186" w:hRule="atLeast"/>
        </w:trPr>
        <w:tc>
          <w:tcPr>
            <w:tcW w:w="1661" w:type="dxa"/>
            <w:vAlign w:val="center"/>
          </w:tcPr>
          <w:p w14:paraId="47EA6DE6">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jc w:val="both"/>
              <w:textAlignment w:val="auto"/>
              <w:rPr>
                <w:rFonts w:hint="default"/>
                <w:highlight w:val="none"/>
                <w:lang w:val="en-US" w:eastAsia="es-ES"/>
              </w:rPr>
            </w:pPr>
            <w:r>
              <w:rPr>
                <w:rFonts w:hint="default"/>
                <w:highlight w:val="none"/>
                <w:lang w:val="en-US" w:eastAsia="es-ES"/>
              </w:rPr>
              <w:t>Energy consumption</w:t>
            </w:r>
          </w:p>
        </w:tc>
        <w:tc>
          <w:tcPr>
            <w:tcW w:w="6673" w:type="dxa"/>
            <w:vAlign w:val="center"/>
          </w:tcPr>
          <w:p w14:paraId="40F58974">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jc w:val="both"/>
              <w:textAlignment w:val="auto"/>
              <w:rPr>
                <w:highlight w:val="none"/>
                <w:lang w:val="en-US" w:eastAsia="es-ES"/>
              </w:rPr>
            </w:pPr>
            <w:r>
              <w:rPr>
                <w:rFonts w:hint="default"/>
                <w:highlight w:val="none"/>
                <w:lang w:val="en-US" w:eastAsia="es-ES"/>
              </w:rPr>
              <w:t xml:space="preserve">- </w:t>
            </w:r>
            <w:r>
              <w:rPr>
                <w:rFonts w:hint="eastAsia"/>
                <w:highlight w:val="none"/>
                <w:lang w:val="en-US" w:eastAsia="es-ES"/>
              </w:rPr>
              <w:t>Consumption of electricity base</w:t>
            </w:r>
            <w:r>
              <w:rPr>
                <w:rFonts w:hint="default"/>
                <w:highlight w:val="none"/>
                <w:lang w:val="en-US" w:eastAsia="es-ES"/>
              </w:rPr>
              <w:t>d</w:t>
            </w:r>
            <w:r>
              <w:rPr>
                <w:rFonts w:hint="eastAsia"/>
                <w:highlight w:val="none"/>
                <w:lang w:val="en-US" w:eastAsia="es-ES"/>
              </w:rPr>
              <w:t xml:space="preserve"> on supplier</w:t>
            </w:r>
            <w:r>
              <w:rPr>
                <w:rFonts w:hint="default"/>
                <w:highlight w:val="none"/>
                <w:lang w:val="en-US" w:eastAsia="es-ES"/>
              </w:rPr>
              <w:t>s’</w:t>
            </w:r>
            <w:r>
              <w:rPr>
                <w:rFonts w:hint="eastAsia"/>
                <w:highlight w:val="none"/>
                <w:lang w:val="en-US" w:eastAsia="es-ES"/>
              </w:rPr>
              <w:t xml:space="preserve"> information.</w:t>
            </w:r>
          </w:p>
        </w:tc>
      </w:tr>
    </w:tbl>
    <w:p w14:paraId="7CD9FE2D">
      <w:pPr>
        <w:numPr>
          <w:ilvl w:val="0"/>
          <w:numId w:val="0"/>
        </w:numPr>
        <w:snapToGrid w:val="0"/>
        <w:spacing w:before="120" w:after="240" w:line="276" w:lineRule="auto"/>
        <w:jc w:val="both"/>
        <w:rPr>
          <w:highlight w:val="none"/>
          <w:lang w:val="en-US"/>
        </w:rPr>
      </w:pPr>
    </w:p>
    <w:p w14:paraId="6078366C">
      <w:pPr>
        <w:numPr>
          <w:ilvl w:val="0"/>
          <w:numId w:val="13"/>
        </w:numPr>
        <w:snapToGrid w:val="0"/>
        <w:ind w:left="425" w:leftChars="0" w:hanging="425" w:firstLineChars="0"/>
        <w:rPr>
          <w:rFonts w:hint="default" w:ascii="Arial Bold" w:hAnsi="Arial Bold" w:cs="Arial Bold"/>
          <w:b/>
          <w:bCs/>
          <w:highlight w:val="none"/>
          <w:lang w:val="en-US"/>
        </w:rPr>
      </w:pPr>
      <w:r>
        <w:rPr>
          <w:rFonts w:hint="default" w:ascii="Arial Bold" w:hAnsi="Arial Bold" w:cs="Arial Bold"/>
          <w:b/>
          <w:bCs/>
          <w:highlight w:val="none"/>
          <w:lang w:val="en-US"/>
        </w:rPr>
        <w:t>Quality control and quality assurance procedures</w:t>
      </w:r>
    </w:p>
    <w:p w14:paraId="6433A81C">
      <w:pPr>
        <w:rPr>
          <w:color w:val="000000"/>
          <w:highlight w:val="none"/>
          <w:lang w:val="en-US"/>
        </w:rPr>
      </w:pPr>
      <w:r>
        <w:rPr>
          <w:color w:val="000000"/>
          <w:highlight w:val="none"/>
          <w:lang w:val="en-US"/>
        </w:rPr>
        <w:t>To guarantee the quality of the production of Worms Argentina S.A. control procedures are carried out by performing chemical and bacteriological analyses. Documented information referring to the inscriptions of the products of Worms Argentina S.A. is attached hereto, used as soil amendment by Servicio Nacional de Sanidad y Calidad Agroalimentaria (SENASA).</w:t>
      </w:r>
    </w:p>
    <w:p w14:paraId="65E483FC">
      <w:pPr>
        <w:rPr>
          <w:color w:val="000000"/>
          <w:highlight w:val="none"/>
          <w:lang w:val="en-US"/>
        </w:rPr>
      </w:pPr>
      <w:r>
        <w:rPr>
          <w:color w:val="000000"/>
          <w:highlight w:val="none"/>
          <w:lang w:val="en-US"/>
        </w:rPr>
        <w:t>The company gradually incorporates into its practices the guidelines of Joint Resolution Nº 1/2019 (RESFC-2019-1-APN-SECCYMA#SGP) issued by the NAC SERVICE OF HEALTH AND AGRO-FOOD QUALITY and the SECRETARY OF ENVIRONMENTAL CONTROL AND MONITORING of the Nation that approves the REGULATORY FRAMEWORK FOR THE PRODUCTION, REGISTRATION AND APPLICATION OF COMPOST.</w:t>
      </w:r>
    </w:p>
    <w:p w14:paraId="2A4CC919">
      <w:pPr>
        <w:rPr>
          <w:color w:val="000000"/>
          <w:highlight w:val="none"/>
          <w:lang w:val="en-US"/>
        </w:rPr>
      </w:pPr>
      <w:r>
        <w:rPr>
          <w:color w:val="000000"/>
          <w:highlight w:val="none"/>
          <w:lang w:val="en-US"/>
        </w:rPr>
        <w:t>However, it is necessary to sanction a provincial rule that adopts it in the local legal system (or one that establishes the conditions for regulating the activity at the Provincial discretion), as well as the adaptation and updating of regulations by SENASA.</w:t>
      </w:r>
    </w:p>
    <w:p w14:paraId="1F045FD3">
      <w:pPr>
        <w:rPr>
          <w:color w:val="000000"/>
          <w:highlight w:val="none"/>
          <w:lang w:val="en-US"/>
        </w:rPr>
      </w:pPr>
      <w:r>
        <w:rPr>
          <w:color w:val="000000"/>
          <w:highlight w:val="none"/>
          <w:lang w:val="en-US"/>
        </w:rPr>
        <w:t>Notwithstanding this, to date the firm is in the process of managing a new application for registration in the National Registry of Fertilizers, Amendments, Substrates, Conditioners, Protectors and Raw Materials within the framework of this Resolution.</w:t>
      </w:r>
    </w:p>
    <w:p w14:paraId="6FD9602F">
      <w:pPr>
        <w:numPr>
          <w:ilvl w:val="0"/>
          <w:numId w:val="0"/>
        </w:numPr>
        <w:snapToGrid w:val="0"/>
        <w:spacing w:before="120" w:after="240" w:line="276" w:lineRule="auto"/>
        <w:jc w:val="both"/>
        <w:rPr>
          <w:rFonts w:hint="default"/>
          <w:highlight w:val="none"/>
          <w:lang w:val="es-ES"/>
        </w:rPr>
      </w:pPr>
    </w:p>
    <w:p w14:paraId="61BFD50E">
      <w:pPr>
        <w:numPr>
          <w:ilvl w:val="0"/>
          <w:numId w:val="13"/>
        </w:numPr>
        <w:snapToGrid w:val="0"/>
        <w:ind w:left="425" w:leftChars="0" w:hanging="425" w:firstLineChars="0"/>
        <w:rPr>
          <w:rFonts w:hint="default" w:ascii="Arial Bold" w:hAnsi="Arial Bold" w:cs="Arial Bold"/>
          <w:b/>
          <w:bCs/>
          <w:highlight w:val="none"/>
          <w:lang w:val="en-US"/>
        </w:rPr>
      </w:pPr>
      <w:r>
        <w:rPr>
          <w:rFonts w:hint="default" w:ascii="Arial Bold" w:hAnsi="Arial Bold" w:cs="Arial Bold"/>
          <w:b/>
          <w:bCs/>
          <w:highlight w:val="none"/>
          <w:lang w:val="en-US"/>
        </w:rPr>
        <w:t>Verification of field data</w:t>
      </w:r>
      <w:r>
        <w:rPr>
          <w:rFonts w:hint="default" w:ascii="Arial Bold" w:hAnsi="Arial Bold" w:cs="Arial Bold"/>
          <w:b/>
          <w:bCs/>
          <w:highlight w:val="none"/>
          <w:lang w:val="es-ES"/>
        </w:rPr>
        <w:t xml:space="preserve"> and r</w:t>
      </w:r>
      <w:r>
        <w:rPr>
          <w:rFonts w:hint="default" w:ascii="Arial Bold" w:hAnsi="Arial Bold" w:cs="Arial Bold"/>
          <w:b/>
          <w:bCs/>
          <w:highlight w:val="none"/>
          <w:lang w:val="en-US"/>
        </w:rPr>
        <w:t>eview of information processing</w:t>
      </w:r>
    </w:p>
    <w:p w14:paraId="24821F3A">
      <w:pPr>
        <w:numPr>
          <w:ilvl w:val="0"/>
          <w:numId w:val="0"/>
        </w:numPr>
        <w:snapToGrid w:val="0"/>
        <w:spacing w:before="120" w:after="240" w:line="276" w:lineRule="auto"/>
        <w:jc w:val="both"/>
        <w:rPr>
          <w:rFonts w:hint="default"/>
          <w:highlight w:val="none"/>
          <w:lang w:val="es-ES"/>
        </w:rPr>
      </w:pPr>
      <w:r>
        <w:rPr>
          <w:rFonts w:hint="default"/>
          <w:highlight w:val="none"/>
          <w:lang w:val="es-ES"/>
        </w:rPr>
        <w:t>All the results of analysis and control are double checked between the operators and the person responsible of the lab. This double verification allows to ensure that there parameters and datas are correct and the process is not committed. All the data recovered are annually audited and checked by the manager of the company and the production manager.</w:t>
      </w:r>
    </w:p>
    <w:p w14:paraId="6173E9A6">
      <w:pPr>
        <w:numPr>
          <w:ilvl w:val="0"/>
          <w:numId w:val="0"/>
        </w:numPr>
        <w:snapToGrid w:val="0"/>
        <w:spacing w:before="120" w:after="240" w:line="276" w:lineRule="auto"/>
        <w:jc w:val="both"/>
        <w:rPr>
          <w:rFonts w:hint="default"/>
          <w:highlight w:val="none"/>
          <w:lang w:val="es-ES"/>
        </w:rPr>
      </w:pPr>
    </w:p>
    <w:p w14:paraId="10F13ADD">
      <w:pPr>
        <w:numPr>
          <w:ilvl w:val="0"/>
          <w:numId w:val="13"/>
        </w:numPr>
        <w:snapToGrid w:val="0"/>
        <w:ind w:left="425" w:leftChars="0" w:hanging="425" w:firstLineChars="0"/>
        <w:rPr>
          <w:rFonts w:hint="default" w:ascii="Arial Bold" w:hAnsi="Arial Bold" w:cs="Arial Bold"/>
          <w:b/>
          <w:bCs/>
          <w:highlight w:val="none"/>
          <w:lang w:val="en-US"/>
        </w:rPr>
      </w:pPr>
      <w:r>
        <w:rPr>
          <w:rFonts w:hint="default" w:ascii="Arial Bold" w:hAnsi="Arial Bold" w:cs="Arial Bold"/>
          <w:b/>
          <w:bCs/>
          <w:highlight w:val="none"/>
          <w:lang w:val="en-US"/>
        </w:rPr>
        <w:t>Data recording and archiving system</w:t>
      </w:r>
    </w:p>
    <w:p w14:paraId="5243983D">
      <w:pPr>
        <w:numPr>
          <w:ilvl w:val="0"/>
          <w:numId w:val="0"/>
        </w:numPr>
        <w:snapToGrid w:val="0"/>
        <w:spacing w:before="120" w:after="240" w:line="276" w:lineRule="auto"/>
        <w:jc w:val="both"/>
        <w:rPr>
          <w:rFonts w:hint="default"/>
          <w:highlight w:val="none"/>
          <w:lang w:val="es-ES" w:eastAsia="es-ES"/>
        </w:rPr>
      </w:pPr>
      <w:r>
        <w:rPr>
          <w:rFonts w:hint="default"/>
          <w:highlight w:val="none"/>
          <w:lang w:val="es-ES" w:eastAsia="es-ES"/>
        </w:rPr>
        <w:t>All information regarding waste and residue entrance as well as compost produce and sell is adequately preserved in a physical archive.</w:t>
      </w:r>
      <w:r>
        <w:rPr>
          <w:rFonts w:hint="default"/>
          <w:highlight w:val="none"/>
          <w:lang w:val="en-US" w:eastAsia="es-ES"/>
        </w:rPr>
        <w:t xml:space="preserve"> </w:t>
      </w:r>
      <w:r>
        <w:rPr>
          <w:rFonts w:hint="default"/>
          <w:highlight w:val="none"/>
          <w:lang w:val="es-ES" w:eastAsia="es-ES"/>
        </w:rPr>
        <w:t>All information coming from suppliers, clients and any other part intervening in the project activity is also preserved.</w:t>
      </w:r>
    </w:p>
    <w:p w14:paraId="3F41A736">
      <w:pPr>
        <w:numPr>
          <w:ilvl w:val="0"/>
          <w:numId w:val="0"/>
        </w:numPr>
        <w:snapToGrid w:val="0"/>
        <w:spacing w:before="120" w:after="240" w:line="276" w:lineRule="auto"/>
        <w:jc w:val="both"/>
        <w:rPr>
          <w:rFonts w:hint="default"/>
          <w:highlight w:val="none"/>
          <w:lang w:val="es-ES"/>
        </w:rPr>
      </w:pPr>
      <w:r>
        <w:rPr>
          <w:rFonts w:hint="default"/>
          <w:highlight w:val="none"/>
          <w:lang w:val="es-ES" w:eastAsia="es-ES"/>
        </w:rPr>
        <w:t>In order to improve the efficiency of the recording and archiving system, a digitalization process has already started to keep both a physical and on-line registries of the data parameters and information regardless the entire monitoring plan and all the compatible procedures (environmental, safety and quality control procedures, etc.).</w:t>
      </w:r>
    </w:p>
    <w:p w14:paraId="59150E25">
      <w:pPr>
        <w:pStyle w:val="35"/>
        <w:numPr>
          <w:ilvl w:val="0"/>
          <w:numId w:val="0"/>
        </w:numPr>
        <w:snapToGrid w:val="0"/>
        <w:spacing w:before="120" w:after="240" w:line="276" w:lineRule="auto"/>
        <w:contextualSpacing w:val="0"/>
        <w:jc w:val="both"/>
        <w:rPr>
          <w:rFonts w:hint="default" w:ascii="Arial" w:hAnsi="Arial" w:cs="Arial"/>
          <w:b w:val="0"/>
          <w:bCs w:val="0"/>
          <w:highlight w:val="none"/>
          <w:lang w:val="en-US"/>
        </w:rPr>
      </w:pPr>
    </w:p>
    <w:p w14:paraId="427B6C4F">
      <w:pPr>
        <w:pStyle w:val="35"/>
        <w:numPr>
          <w:ilvl w:val="0"/>
          <w:numId w:val="13"/>
        </w:numPr>
        <w:snapToGrid w:val="0"/>
        <w:ind w:left="425" w:leftChars="0" w:hanging="425" w:firstLineChars="0"/>
        <w:contextualSpacing w:val="0"/>
        <w:rPr>
          <w:rFonts w:hint="default" w:ascii="Arial Bold" w:hAnsi="Arial Bold" w:cs="Arial Bold"/>
          <w:b/>
          <w:bCs/>
          <w:highlight w:val="none"/>
          <w:lang w:val="en-US"/>
        </w:rPr>
      </w:pPr>
      <w:r>
        <w:rPr>
          <w:rFonts w:hint="default" w:ascii="Arial Bold" w:hAnsi="Arial Bold" w:cs="Arial Bold"/>
          <w:b/>
          <w:bCs/>
          <w:highlight w:val="none"/>
          <w:lang w:val="es-ES"/>
        </w:rPr>
        <w:t>S</w:t>
      </w:r>
      <w:r>
        <w:rPr>
          <w:rFonts w:hint="default" w:ascii="Arial Bold" w:hAnsi="Arial Bold" w:cs="Arial Bold"/>
          <w:b/>
          <w:bCs/>
          <w:highlight w:val="none"/>
          <w:lang w:val="en-US"/>
        </w:rPr>
        <w:t>pecification of any potential emissions that would occur outside the project boundary as a result of GHG project activities (leakage)</w:t>
      </w:r>
    </w:p>
    <w:p w14:paraId="78B94F60">
      <w:pPr>
        <w:pStyle w:val="35"/>
        <w:numPr>
          <w:ilvl w:val="0"/>
          <w:numId w:val="0"/>
        </w:numPr>
        <w:snapToGrid w:val="0"/>
        <w:ind w:leftChars="0"/>
        <w:contextualSpacing w:val="0"/>
        <w:rPr>
          <w:rFonts w:hint="default" w:ascii="Arial" w:hAnsi="Arial" w:cs="Arial"/>
          <w:b w:val="0"/>
          <w:bCs w:val="0"/>
          <w:highlight w:val="none"/>
          <w:lang w:val="en-US"/>
        </w:rPr>
      </w:pPr>
      <w:r>
        <w:rPr>
          <w:rFonts w:hint="default" w:ascii="Arial" w:hAnsi="Arial" w:cs="Arial"/>
          <w:b w:val="0"/>
          <w:bCs w:val="0"/>
          <w:highlight w:val="none"/>
          <w:lang w:val="en-US"/>
        </w:rPr>
        <w:t>Not applicable because there is no leakage in this project.</w:t>
      </w:r>
    </w:p>
    <w:p w14:paraId="6C994645">
      <w:pPr>
        <w:pStyle w:val="35"/>
        <w:numPr>
          <w:ilvl w:val="0"/>
          <w:numId w:val="0"/>
        </w:numPr>
        <w:snapToGrid w:val="0"/>
        <w:ind w:leftChars="0"/>
        <w:contextualSpacing w:val="0"/>
        <w:rPr>
          <w:rFonts w:hint="default" w:ascii="Arial" w:hAnsi="Arial" w:cs="Arial"/>
          <w:b w:val="0"/>
          <w:bCs w:val="0"/>
          <w:highlight w:val="none"/>
          <w:lang w:val="en-US"/>
        </w:rPr>
      </w:pPr>
    </w:p>
    <w:p w14:paraId="323B3422">
      <w:pPr>
        <w:pStyle w:val="35"/>
        <w:numPr>
          <w:ilvl w:val="0"/>
          <w:numId w:val="13"/>
        </w:numPr>
        <w:snapToGrid w:val="0"/>
        <w:ind w:left="425" w:leftChars="0" w:hanging="425" w:firstLineChars="0"/>
        <w:contextualSpacing w:val="0"/>
        <w:rPr>
          <w:rFonts w:hint="default" w:ascii="Arial Bold" w:hAnsi="Arial Bold" w:cs="Arial Bold"/>
          <w:b/>
          <w:bCs/>
          <w:highlight w:val="none"/>
          <w:lang w:val="en-US"/>
        </w:rPr>
      </w:pPr>
      <w:r>
        <w:rPr>
          <w:rFonts w:hint="default" w:ascii="Arial Bold" w:hAnsi="Arial Bold" w:cs="Arial Bold"/>
          <w:b/>
          <w:bCs/>
          <w:highlight w:val="none"/>
          <w:lang w:val="es-ES"/>
        </w:rPr>
        <w:t>In</w:t>
      </w:r>
      <w:r>
        <w:rPr>
          <w:rFonts w:hint="default" w:ascii="Arial Bold" w:hAnsi="Arial Bold" w:cs="Arial Bold"/>
          <w:b/>
          <w:bCs/>
          <w:highlight w:val="none"/>
          <w:lang w:val="en-US"/>
        </w:rPr>
        <w:t>formation related to the environmental impact assessment of the GHG project activities</w:t>
      </w:r>
    </w:p>
    <w:p w14:paraId="54BECA8A">
      <w:pPr>
        <w:pStyle w:val="35"/>
        <w:numPr>
          <w:ilvl w:val="0"/>
          <w:numId w:val="0"/>
        </w:numPr>
        <w:snapToGrid w:val="0"/>
        <w:spacing w:before="120" w:after="240" w:line="276" w:lineRule="auto"/>
        <w:contextualSpacing w:val="0"/>
        <w:jc w:val="both"/>
        <w:rPr>
          <w:rFonts w:hint="default" w:ascii="Arial" w:hAnsi="Arial" w:cs="Arial"/>
          <w:b w:val="0"/>
          <w:bCs w:val="0"/>
          <w:highlight w:val="none"/>
          <w:lang w:val="en-US"/>
        </w:rPr>
      </w:pPr>
      <w:r>
        <w:rPr>
          <w:rFonts w:hint="default" w:ascii="Arial" w:hAnsi="Arial" w:cs="Arial"/>
          <w:b w:val="0"/>
          <w:bCs w:val="0"/>
          <w:highlight w:val="none"/>
          <w:lang w:val="en-US"/>
        </w:rPr>
        <w:t xml:space="preserve">The information regarding the environmental impact assessment could be segregated depending on the natural resource impacted. </w:t>
      </w:r>
    </w:p>
    <w:tbl>
      <w:tblPr>
        <w:tblStyle w:val="1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6" w:type="dxa"/>
          <w:left w:w="98" w:type="dxa"/>
          <w:bottom w:w="0" w:type="dxa"/>
          <w:right w:w="61" w:type="dxa"/>
        </w:tblCellMar>
      </w:tblPr>
      <w:tblGrid>
        <w:gridCol w:w="1301"/>
        <w:gridCol w:w="7204"/>
      </w:tblGrid>
      <w:tr w14:paraId="77B88A57">
        <w:trPr>
          <w:trHeight w:val="24" w:hRule="atLeast"/>
          <w:jc w:val="center"/>
        </w:trPr>
        <w:tc>
          <w:tcPr>
            <w:tcW w:w="1301" w:type="dxa"/>
            <w:shd w:val="clear" w:color="auto" w:fill="F1F1F1" w:themeFill="background1" w:themeFillShade="F2"/>
          </w:tcPr>
          <w:p w14:paraId="5B3FAF10">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76" w:lineRule="auto"/>
              <w:contextualSpacing w:val="0"/>
              <w:jc w:val="both"/>
              <w:textAlignment w:val="auto"/>
              <w:rPr>
                <w:rFonts w:hint="default" w:ascii="Arial" w:hAnsi="Arial" w:cs="Arial"/>
                <w:b w:val="0"/>
                <w:bCs w:val="0"/>
                <w:highlight w:val="none"/>
                <w:lang w:val="en-US"/>
              </w:rPr>
            </w:pPr>
            <w:r>
              <w:rPr>
                <w:rFonts w:hint="default" w:ascii="Arial" w:hAnsi="Arial" w:cs="Arial"/>
                <w:b w:val="0"/>
                <w:bCs w:val="0"/>
                <w:highlight w:val="none"/>
                <w:lang w:val="en-US"/>
              </w:rPr>
              <w:t>Resource</w:t>
            </w:r>
          </w:p>
        </w:tc>
        <w:tc>
          <w:tcPr>
            <w:tcW w:w="7204" w:type="dxa"/>
            <w:shd w:val="clear" w:color="auto" w:fill="F1F1F1" w:themeFill="background1" w:themeFillShade="F2"/>
          </w:tcPr>
          <w:p w14:paraId="18B4CC59">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76" w:lineRule="auto"/>
              <w:contextualSpacing w:val="0"/>
              <w:jc w:val="both"/>
              <w:textAlignment w:val="auto"/>
              <w:rPr>
                <w:rFonts w:hint="default" w:ascii="Arial" w:hAnsi="Arial" w:cs="Arial"/>
                <w:b w:val="0"/>
                <w:bCs w:val="0"/>
                <w:highlight w:val="none"/>
                <w:lang w:val="es-ES"/>
              </w:rPr>
            </w:pPr>
            <w:r>
              <w:rPr>
                <w:rFonts w:hint="default" w:cs="Arial"/>
                <w:b w:val="0"/>
                <w:bCs w:val="0"/>
                <w:highlight w:val="none"/>
                <w:lang w:val="es-ES"/>
              </w:rPr>
              <w:t>Protection program</w:t>
            </w:r>
          </w:p>
        </w:tc>
      </w:tr>
      <w:tr w14:paraId="3D74135F">
        <w:trPr>
          <w:trHeight w:val="15" w:hRule="atLeast"/>
          <w:jc w:val="center"/>
        </w:trPr>
        <w:tc>
          <w:tcPr>
            <w:tcW w:w="1301" w:type="dxa"/>
          </w:tcPr>
          <w:p w14:paraId="416808DE">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76" w:lineRule="auto"/>
              <w:contextualSpacing w:val="0"/>
              <w:jc w:val="both"/>
              <w:textAlignment w:val="auto"/>
              <w:rPr>
                <w:rFonts w:hint="default" w:ascii="Arial" w:hAnsi="Arial" w:cs="Arial"/>
                <w:b w:val="0"/>
                <w:bCs w:val="0"/>
                <w:highlight w:val="none"/>
                <w:lang w:val="es-ES"/>
              </w:rPr>
            </w:pPr>
            <w:r>
              <w:rPr>
                <w:rFonts w:hint="default" w:cs="Arial"/>
                <w:b w:val="0"/>
                <w:bCs w:val="0"/>
                <w:highlight w:val="none"/>
                <w:lang w:val="es-ES"/>
              </w:rPr>
              <w:t>Soil</w:t>
            </w:r>
          </w:p>
        </w:tc>
        <w:tc>
          <w:tcPr>
            <w:tcW w:w="7204" w:type="dxa"/>
            <w:vAlign w:val="center"/>
          </w:tcPr>
          <w:p w14:paraId="0FA6F882">
            <w:pPr>
              <w:rPr>
                <w:color w:val="000000"/>
                <w:highlight w:val="none"/>
                <w:lang w:val="en-US"/>
              </w:rPr>
            </w:pPr>
            <w:r>
              <w:rPr>
                <w:rFonts w:hint="default" w:cs="Arial"/>
                <w:b w:val="0"/>
                <w:bCs w:val="0"/>
                <w:highlight w:val="none"/>
                <w:lang w:val="es-ES"/>
              </w:rPr>
              <w:t>- Hazarous waste management subprogram: t</w:t>
            </w:r>
            <w:r>
              <w:rPr>
                <w:color w:val="000000"/>
                <w:highlight w:val="none"/>
                <w:lang w:val="en-US"/>
              </w:rPr>
              <w:t>his Subprogram is based on the segregation of hazardous waste streams at their generation points. The operating personnel will be trained and made aware of the areas where the generation of hazardous waste is foreseeable.</w:t>
            </w:r>
          </w:p>
          <w:p w14:paraId="787F107E">
            <w:pPr>
              <w:rPr>
                <w:rFonts w:hint="default"/>
                <w:color w:val="000000"/>
                <w:highlight w:val="none"/>
                <w:lang w:val="es-ES"/>
              </w:rPr>
            </w:pPr>
            <w:r>
              <w:rPr>
                <w:rFonts w:hint="default"/>
                <w:color w:val="000000"/>
                <w:highlight w:val="none"/>
                <w:u w:val="none"/>
                <w:lang w:val="es-ES"/>
              </w:rPr>
              <w:t xml:space="preserve">- </w:t>
            </w:r>
            <w:r>
              <w:rPr>
                <w:color w:val="000000"/>
                <w:highlight w:val="none"/>
                <w:u w:val="none"/>
                <w:lang w:val="en-US"/>
              </w:rPr>
              <w:t>Drainage and Flooding Control Subprogram:</w:t>
            </w:r>
            <w:r>
              <w:rPr>
                <w:rFonts w:hint="default"/>
                <w:color w:val="000000"/>
                <w:highlight w:val="none"/>
                <w:u w:val="none"/>
                <w:lang w:val="es-ES"/>
              </w:rPr>
              <w:t xml:space="preserve"> t</w:t>
            </w:r>
            <w:r>
              <w:rPr>
                <w:color w:val="000000"/>
                <w:highlight w:val="none"/>
                <w:lang w:val="en-US"/>
              </w:rPr>
              <w:t>he construction works of the internal circulation roads and transport parking areas were carried out respecting the natural drainage conditions of the land, avoiding the generation of flooding inside the property.</w:t>
            </w:r>
            <w:r>
              <w:rPr>
                <w:rFonts w:hint="default"/>
                <w:color w:val="000000"/>
                <w:highlight w:val="none"/>
                <w:lang w:val="es-ES"/>
              </w:rPr>
              <w:t xml:space="preserve"> </w:t>
            </w:r>
            <w:r>
              <w:rPr>
                <w:color w:val="000000"/>
                <w:highlight w:val="none"/>
                <w:lang w:val="en-US"/>
              </w:rPr>
              <w:t>Likewise, the maintenance of the internal protection channels and the external pluvial drainage channels is carried out, controlling the clogging and vegetation in them.</w:t>
            </w:r>
          </w:p>
        </w:tc>
      </w:tr>
      <w:tr w14:paraId="5648BA53">
        <w:trPr>
          <w:trHeight w:val="716" w:hRule="atLeast"/>
          <w:jc w:val="center"/>
        </w:trPr>
        <w:tc>
          <w:tcPr>
            <w:tcW w:w="1301" w:type="dxa"/>
          </w:tcPr>
          <w:p w14:paraId="126C2524">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76" w:lineRule="auto"/>
              <w:contextualSpacing w:val="0"/>
              <w:jc w:val="both"/>
              <w:textAlignment w:val="auto"/>
              <w:rPr>
                <w:rFonts w:hint="default" w:ascii="Arial" w:hAnsi="Arial" w:cs="Arial"/>
                <w:b w:val="0"/>
                <w:bCs w:val="0"/>
                <w:highlight w:val="none"/>
                <w:lang w:val="es-ES"/>
              </w:rPr>
            </w:pPr>
            <w:r>
              <w:rPr>
                <w:rFonts w:hint="default" w:cs="Arial"/>
                <w:b w:val="0"/>
                <w:bCs w:val="0"/>
                <w:highlight w:val="none"/>
                <w:lang w:val="es-ES"/>
              </w:rPr>
              <w:t>Water</w:t>
            </w:r>
          </w:p>
        </w:tc>
        <w:tc>
          <w:tcPr>
            <w:tcW w:w="7204" w:type="dxa"/>
          </w:tcPr>
          <w:p w14:paraId="62B9CDF6">
            <w:pPr>
              <w:spacing w:after="0"/>
              <w:rPr>
                <w:color w:val="000000"/>
                <w:highlight w:val="none"/>
                <w:lang w:val="en-US"/>
              </w:rPr>
            </w:pPr>
            <w:r>
              <w:rPr>
                <w:rFonts w:hint="default"/>
                <w:color w:val="000000"/>
                <w:highlight w:val="none"/>
                <w:u w:val="none"/>
                <w:lang w:val="es-ES"/>
              </w:rPr>
              <w:t xml:space="preserve">- </w:t>
            </w:r>
            <w:r>
              <w:rPr>
                <w:color w:val="000000"/>
                <w:highlight w:val="none"/>
                <w:u w:val="none"/>
                <w:lang w:val="en-US"/>
              </w:rPr>
              <w:t>Groundwater monitoring subprogram</w:t>
            </w:r>
            <w:r>
              <w:rPr>
                <w:rFonts w:hint="default"/>
                <w:color w:val="000000"/>
                <w:highlight w:val="none"/>
                <w:u w:val="none"/>
                <w:lang w:val="es-ES"/>
              </w:rPr>
              <w:t>: f</w:t>
            </w:r>
            <w:r>
              <w:rPr>
                <w:color w:val="000000"/>
                <w:highlight w:val="none"/>
                <w:lang w:val="en-US"/>
              </w:rPr>
              <w:t>rom the construction of the extraction well, a sampling of the resource extracted from the aquifer will be carried out in order to determine the base conditions and their variation over time. The objective of the monitoring will be to ensure the quality of the water extracted and at the same time determine that the extraction carried out does not affect the hydrogeological profile of the resource.</w:t>
            </w:r>
          </w:p>
          <w:p w14:paraId="18692554">
            <w:pPr>
              <w:pBdr>
                <w:top w:val="none" w:color="auto" w:sz="0" w:space="0"/>
                <w:left w:val="none" w:color="auto" w:sz="0" w:space="0"/>
                <w:bottom w:val="none" w:color="auto" w:sz="0" w:space="0"/>
                <w:right w:val="none" w:color="auto" w:sz="0" w:space="0"/>
                <w:between w:val="none" w:color="auto" w:sz="0" w:space="0"/>
              </w:pBdr>
              <w:rPr>
                <w:color w:val="000000"/>
                <w:highlight w:val="none"/>
                <w:lang w:val="en-US"/>
              </w:rPr>
            </w:pPr>
            <w:r>
              <w:rPr>
                <w:rFonts w:hint="default"/>
                <w:color w:val="000000"/>
                <w:highlight w:val="none"/>
                <w:lang w:val="es-ES"/>
              </w:rPr>
              <w:t xml:space="preserve">- Water quality analysis: </w:t>
            </w:r>
            <w:r>
              <w:rPr>
                <w:color w:val="000000"/>
                <w:highlight w:val="none"/>
                <w:lang w:val="en-US"/>
              </w:rPr>
              <w:t>Worms Argentina S.A</w:t>
            </w:r>
            <w:r>
              <w:rPr>
                <w:rFonts w:hint="default"/>
                <w:color w:val="000000"/>
                <w:highlight w:val="none"/>
                <w:lang w:val="es-ES"/>
              </w:rPr>
              <w:t>.</w:t>
            </w:r>
            <w:r>
              <w:rPr>
                <w:color w:val="000000"/>
                <w:highlight w:val="none"/>
                <w:lang w:val="en-US"/>
              </w:rPr>
              <w:t xml:space="preserve"> has prepared a report with the objective of determine and evaluate the concentration of the following parameters in the effluent: pH, color, conductivity, turbidity, solids in total suspension, bod, cod, total coliforms and fecal coliforms.</w:t>
            </w:r>
          </w:p>
          <w:p w14:paraId="4697C111">
            <w:pPr>
              <w:spacing w:after="0"/>
              <w:rPr>
                <w:rFonts w:hint="default"/>
                <w:color w:val="000000"/>
                <w:highlight w:val="none"/>
                <w:lang w:val="es-ES"/>
              </w:rPr>
            </w:pPr>
            <w:r>
              <w:rPr>
                <w:color w:val="000000"/>
                <w:highlight w:val="none"/>
                <w:lang w:val="en-US"/>
              </w:rPr>
              <w:t xml:space="preserve">This report was prepared based on the results obtained from the monitoring carried out at the request of Worms–Dry Creek (Sta. Fe). </w:t>
            </w:r>
          </w:p>
        </w:tc>
      </w:tr>
      <w:tr w14:paraId="755669F5">
        <w:trPr>
          <w:trHeight w:val="15" w:hRule="atLeast"/>
          <w:jc w:val="center"/>
        </w:trPr>
        <w:tc>
          <w:tcPr>
            <w:tcW w:w="1301" w:type="dxa"/>
          </w:tcPr>
          <w:p w14:paraId="4C6D61EA">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76" w:lineRule="auto"/>
              <w:contextualSpacing w:val="0"/>
              <w:jc w:val="both"/>
              <w:textAlignment w:val="auto"/>
              <w:rPr>
                <w:rFonts w:hint="default" w:ascii="Arial" w:hAnsi="Arial" w:cs="Arial"/>
                <w:b w:val="0"/>
                <w:bCs w:val="0"/>
                <w:highlight w:val="none"/>
                <w:lang w:val="es-ES"/>
              </w:rPr>
            </w:pPr>
            <w:r>
              <w:rPr>
                <w:rFonts w:hint="default" w:cs="Arial"/>
                <w:b w:val="0"/>
                <w:bCs w:val="0"/>
                <w:highlight w:val="none"/>
                <w:lang w:val="es-ES"/>
              </w:rPr>
              <w:t>Air</w:t>
            </w:r>
          </w:p>
        </w:tc>
        <w:tc>
          <w:tcPr>
            <w:tcW w:w="7204" w:type="dxa"/>
            <w:vAlign w:val="center"/>
          </w:tcPr>
          <w:p w14:paraId="3B0BE9FE">
            <w:pPr>
              <w:pBdr>
                <w:top w:val="none" w:color="auto" w:sz="0" w:space="0"/>
                <w:left w:val="none" w:color="auto" w:sz="0" w:space="0"/>
                <w:bottom w:val="none" w:color="auto" w:sz="0" w:space="0"/>
                <w:right w:val="none" w:color="auto" w:sz="0" w:space="0"/>
                <w:between w:val="none" w:color="auto" w:sz="0" w:space="0"/>
              </w:pBdr>
              <w:rPr>
                <w:rFonts w:hint="default" w:ascii="Arial" w:hAnsi="Arial" w:cs="Arial"/>
                <w:b w:val="0"/>
                <w:bCs w:val="0"/>
                <w:highlight w:val="none"/>
                <w:lang w:val="es-ES"/>
              </w:rPr>
            </w:pPr>
            <w:r>
              <w:rPr>
                <w:color w:val="000000"/>
                <w:highlight w:val="none"/>
                <w:lang w:val="en-US"/>
              </w:rPr>
              <w:t>Worms Argentina S.A. has prepared a report with the objective of determine the concentration of Suspended Particulate Matter (PM10) and Hydrogen Sulfide in the air, in four (4) assigned monitoring posts, for a short measurement period (20 min).</w:t>
            </w:r>
            <w:r>
              <w:rPr>
                <w:rFonts w:hint="default"/>
                <w:color w:val="000000"/>
                <w:highlight w:val="none"/>
                <w:lang w:val="es-ES"/>
              </w:rPr>
              <w:t xml:space="preserve"> </w:t>
            </w:r>
            <w:r>
              <w:rPr>
                <w:color w:val="000000"/>
                <w:highlight w:val="none"/>
                <w:lang w:val="en-US"/>
              </w:rPr>
              <w:t xml:space="preserve">The monitoring positions were recorded with the applicant. </w:t>
            </w:r>
          </w:p>
        </w:tc>
      </w:tr>
    </w:tbl>
    <w:p w14:paraId="6964E327">
      <w:pPr>
        <w:pStyle w:val="35"/>
        <w:numPr>
          <w:ilvl w:val="0"/>
          <w:numId w:val="0"/>
        </w:numPr>
        <w:snapToGrid w:val="0"/>
        <w:spacing w:before="120" w:after="240" w:line="276" w:lineRule="auto"/>
        <w:contextualSpacing w:val="0"/>
        <w:jc w:val="both"/>
        <w:rPr>
          <w:rFonts w:hint="default" w:ascii="Arial" w:hAnsi="Arial" w:cs="Arial"/>
          <w:b w:val="0"/>
          <w:bCs w:val="0"/>
          <w:highlight w:val="none"/>
          <w:lang w:val="en-US"/>
        </w:rPr>
      </w:pPr>
    </w:p>
    <w:p w14:paraId="3CD3E5DF">
      <w:pPr>
        <w:pStyle w:val="35"/>
        <w:numPr>
          <w:ilvl w:val="0"/>
          <w:numId w:val="13"/>
        </w:numPr>
        <w:snapToGrid w:val="0"/>
        <w:ind w:left="425" w:leftChars="0" w:hanging="425" w:firstLineChars="0"/>
        <w:contextualSpacing w:val="0"/>
        <w:rPr>
          <w:rFonts w:hint="default" w:ascii="Arial Bold" w:hAnsi="Arial Bold" w:cs="Arial Bold"/>
          <w:b/>
          <w:bCs/>
          <w:highlight w:val="none"/>
          <w:lang w:val="en-US"/>
        </w:rPr>
      </w:pPr>
      <w:r>
        <w:rPr>
          <w:rFonts w:hint="default" w:ascii="Arial Bold" w:hAnsi="Arial Bold" w:cs="Arial Bold"/>
          <w:b/>
          <w:bCs/>
          <w:highlight w:val="none"/>
          <w:lang w:val="es-ES"/>
        </w:rPr>
        <w:t>E</w:t>
      </w:r>
      <w:r>
        <w:rPr>
          <w:rFonts w:hint="default" w:ascii="Arial Bold" w:hAnsi="Arial Bold" w:cs="Arial Bold"/>
          <w:b/>
          <w:bCs/>
          <w:highlight w:val="none"/>
          <w:lang w:val="en-US"/>
        </w:rPr>
        <w:t>stablished procedures for the management of GHG emission reductions or removals and associated quality control for monitoring activities.</w:t>
      </w:r>
    </w:p>
    <w:p w14:paraId="3A30D1BF">
      <w:pPr>
        <w:jc w:val="both"/>
        <w:rPr>
          <w:highlight w:val="none"/>
          <w:lang w:val="en-GB"/>
        </w:rPr>
      </w:pPr>
      <w:r>
        <w:rPr>
          <w:highlight w:val="none"/>
          <w:lang w:val="en-GB"/>
        </w:rPr>
        <w:t xml:space="preserve">In order to ensure the correct data quality for the GHG calculations in place, there are various protocols in place to control he origin, the reliability, the pertinence and the update status of the data used. </w:t>
      </w:r>
    </w:p>
    <w:p w14:paraId="51059AE0">
      <w:pPr>
        <w:jc w:val="both"/>
        <w:rPr>
          <w:highlight w:val="none"/>
          <w:u w:val="single"/>
          <w:lang w:val="en-GB"/>
        </w:rPr>
      </w:pPr>
      <w:r>
        <w:rPr>
          <w:highlight w:val="none"/>
          <w:u w:val="single"/>
          <w:lang w:val="en-GB"/>
        </w:rPr>
        <w:t>Primary data:</w:t>
      </w:r>
    </w:p>
    <w:p w14:paraId="416CC8DB">
      <w:pPr>
        <w:jc w:val="both"/>
        <w:rPr>
          <w:highlight w:val="none"/>
          <w:lang w:val="en-GB"/>
        </w:rPr>
      </w:pPr>
      <w:r>
        <w:rPr>
          <w:highlight w:val="none"/>
          <w:lang w:val="en-GB"/>
        </w:rPr>
        <w:t>This information is the one that is directly measure by the company. For the GHG calculation this data group is related with the amount of waste treated. The cargo control protocols include the actual weight of the cargo and the comparison with the amount declared by the suppliers.</w:t>
      </w:r>
    </w:p>
    <w:p w14:paraId="4637BC84">
      <w:pPr>
        <w:jc w:val="both"/>
        <w:rPr>
          <w:highlight w:val="none"/>
          <w:lang w:val="en-GB"/>
        </w:rPr>
      </w:pPr>
      <w:r>
        <w:rPr>
          <w:highlight w:val="none"/>
          <w:lang w:val="en-GB"/>
        </w:rPr>
        <w:t>The scale used for weighing the amount of waste has a calibration plan to minimize the uncertainty generated.</w:t>
      </w:r>
    </w:p>
    <w:p w14:paraId="16150415">
      <w:pPr>
        <w:jc w:val="both"/>
        <w:rPr>
          <w:highlight w:val="none"/>
          <w:lang w:val="en-GB"/>
        </w:rPr>
      </w:pPr>
      <w:r>
        <w:rPr>
          <w:highlight w:val="none"/>
          <w:lang w:val="en-GB"/>
        </w:rPr>
        <w:t>All the measures are s</w:t>
      </w:r>
      <w:r>
        <w:rPr>
          <w:rFonts w:hint="default"/>
          <w:highlight w:val="none"/>
          <w:lang w:val="es-ES"/>
        </w:rPr>
        <w:t>t</w:t>
      </w:r>
      <w:r>
        <w:rPr>
          <w:highlight w:val="none"/>
          <w:lang w:val="en-GB"/>
        </w:rPr>
        <w:t>ored with the correspond</w:t>
      </w:r>
      <w:r>
        <w:rPr>
          <w:rFonts w:hint="default"/>
          <w:highlight w:val="none"/>
          <w:lang w:val="es-ES"/>
        </w:rPr>
        <w:t>ing</w:t>
      </w:r>
      <w:r>
        <w:rPr>
          <w:highlight w:val="none"/>
          <w:lang w:val="en-GB"/>
        </w:rPr>
        <w:t xml:space="preserve"> receipts where the origin and amount of waste are specified.</w:t>
      </w:r>
    </w:p>
    <w:p w14:paraId="2D012039">
      <w:pPr>
        <w:jc w:val="both"/>
        <w:rPr>
          <w:highlight w:val="none"/>
          <w:u w:val="single"/>
          <w:lang w:val="en-GB"/>
        </w:rPr>
      </w:pPr>
      <w:r>
        <w:rPr>
          <w:highlight w:val="none"/>
          <w:u w:val="single"/>
          <w:lang w:val="en-GB"/>
        </w:rPr>
        <w:t>Secondary data:</w:t>
      </w:r>
    </w:p>
    <w:p w14:paraId="6E409D5D">
      <w:pPr>
        <w:jc w:val="both"/>
        <w:rPr>
          <w:highlight w:val="none"/>
          <w:lang w:val="en-GB"/>
        </w:rPr>
      </w:pPr>
      <w:r>
        <w:rPr>
          <w:highlight w:val="none"/>
          <w:lang w:val="en-GB"/>
        </w:rPr>
        <w:t>This information is acquired and not directly measure by the company. There are two main groups of data in this category:</w:t>
      </w:r>
    </w:p>
    <w:p w14:paraId="123939BE">
      <w:pPr>
        <w:pStyle w:val="35"/>
        <w:numPr>
          <w:ilvl w:val="0"/>
          <w:numId w:val="16"/>
        </w:numPr>
        <w:jc w:val="both"/>
        <w:rPr>
          <w:highlight w:val="none"/>
          <w:lang w:val="en-GB"/>
        </w:rPr>
      </w:pPr>
      <w:r>
        <w:rPr>
          <w:highlight w:val="none"/>
          <w:lang w:val="en-GB"/>
        </w:rPr>
        <w:t xml:space="preserve">Supplier’s invoices regarding emission related products consumed: in particular electricity and fossil fuels. Suppliers’ invoices specify the amount of these that have been consumed by Worms in the correspondent period adding transparency and traceability.   </w:t>
      </w:r>
    </w:p>
    <w:p w14:paraId="29AA1649">
      <w:pPr>
        <w:pStyle w:val="35"/>
        <w:jc w:val="both"/>
        <w:rPr>
          <w:highlight w:val="none"/>
          <w:lang w:val="en-GB"/>
        </w:rPr>
      </w:pPr>
    </w:p>
    <w:p w14:paraId="516B6B37">
      <w:pPr>
        <w:pStyle w:val="35"/>
        <w:numPr>
          <w:ilvl w:val="0"/>
          <w:numId w:val="16"/>
        </w:numPr>
        <w:jc w:val="both"/>
        <w:rPr>
          <w:highlight w:val="none"/>
          <w:lang w:val="en-GB"/>
        </w:rPr>
      </w:pPr>
      <w:r>
        <w:rPr>
          <w:highlight w:val="none"/>
          <w:lang w:val="en-GB"/>
        </w:rPr>
        <w:t>Factors: factors are all the parameters determined by public, relevant and trustworthy sources used in the calculations according to the methodologies applied to the process. All of then come from the IPCC Guidelines or the IPCC Emission Factor Database (EFDB).</w:t>
      </w:r>
    </w:p>
    <w:p w14:paraId="137B02AC">
      <w:pPr>
        <w:pStyle w:val="35"/>
        <w:rPr>
          <w:highlight w:val="none"/>
          <w:lang w:val="en-GB"/>
        </w:rPr>
      </w:pPr>
    </w:p>
    <w:p w14:paraId="3F335FAB">
      <w:pPr>
        <w:pStyle w:val="35"/>
        <w:jc w:val="both"/>
        <w:rPr>
          <w:highlight w:val="none"/>
          <w:lang w:val="en-GB"/>
        </w:rPr>
      </w:pPr>
      <w:r>
        <w:rPr>
          <w:highlight w:val="none"/>
          <w:lang w:val="en-GB"/>
        </w:rPr>
        <w:t>In those cases where the information is not available in those sources or a more specific data is required Argentinian national documents have been consulted (National energy mix or fossil fuels emissions factors).</w:t>
      </w:r>
    </w:p>
    <w:p w14:paraId="460D7F90">
      <w:pPr>
        <w:pStyle w:val="35"/>
        <w:jc w:val="both"/>
        <w:rPr>
          <w:highlight w:val="none"/>
          <w:lang w:val="en-GB"/>
        </w:rPr>
      </w:pPr>
    </w:p>
    <w:p w14:paraId="55A2E791">
      <w:pPr>
        <w:jc w:val="both"/>
        <w:rPr>
          <w:highlight w:val="none"/>
          <w:u w:val="single"/>
          <w:lang w:val="en-GB"/>
        </w:rPr>
      </w:pPr>
      <w:r>
        <w:rPr>
          <w:highlight w:val="none"/>
          <w:u w:val="single"/>
          <w:lang w:val="en-GB"/>
        </w:rPr>
        <w:t>Data update:</w:t>
      </w:r>
    </w:p>
    <w:p w14:paraId="431B18DB">
      <w:pPr>
        <w:jc w:val="both"/>
        <w:rPr>
          <w:highlight w:val="none"/>
          <w:lang w:val="en-GB"/>
        </w:rPr>
      </w:pPr>
      <w:r>
        <w:rPr>
          <w:highlight w:val="none"/>
          <w:lang w:val="en-GB"/>
        </w:rPr>
        <w:t xml:space="preserve">All the primary data is daily control, checked and correctly stored in the facilities to fulfil the company obligations with the current legislation and internal environmental and quality control systems. </w:t>
      </w:r>
    </w:p>
    <w:p w14:paraId="408886A0">
      <w:pPr>
        <w:jc w:val="both"/>
        <w:rPr>
          <w:highlight w:val="none"/>
          <w:lang w:val="en-GB"/>
        </w:rPr>
      </w:pPr>
      <w:r>
        <w:rPr>
          <w:highlight w:val="none"/>
          <w:lang w:val="en-GB"/>
        </w:rPr>
        <w:t xml:space="preserve">Supplier’s invoices are generated for every period depending of the characteristics (electricity or fossil fuels). Those are also generated based on the actual demand and use and not on estimations. </w:t>
      </w:r>
    </w:p>
    <w:p w14:paraId="2839B651">
      <w:pPr>
        <w:jc w:val="both"/>
        <w:rPr>
          <w:highlight w:val="none"/>
          <w:lang w:val="en-GB"/>
        </w:rPr>
      </w:pPr>
      <w:r>
        <w:rPr>
          <w:highlight w:val="none"/>
          <w:lang w:val="en-GB"/>
        </w:rPr>
        <w:t>For every calculation and verification period all the factors will be checked again to ensure that the latest and most updated version of the reputable sources is the one being used.</w:t>
      </w:r>
    </w:p>
    <w:p w14:paraId="67F20DA0">
      <w:pPr>
        <w:jc w:val="both"/>
        <w:rPr>
          <w:highlight w:val="none"/>
          <w:u w:val="single"/>
          <w:lang w:val="en-GB"/>
        </w:rPr>
      </w:pPr>
      <w:r>
        <w:rPr>
          <w:highlight w:val="none"/>
          <w:u w:val="single"/>
          <w:lang w:val="en-GB"/>
        </w:rPr>
        <w:t>Sectorial national policies:</w:t>
      </w:r>
    </w:p>
    <w:p w14:paraId="194B2A52">
      <w:pPr>
        <w:jc w:val="both"/>
        <w:rPr>
          <w:highlight w:val="none"/>
          <w:lang w:val="en-GB"/>
        </w:rPr>
      </w:pPr>
      <w:r>
        <w:rPr>
          <w:highlight w:val="none"/>
          <w:lang w:val="en-GB"/>
        </w:rPr>
        <w:t>There are two main regulations in place in the country host of the project (Argentina) affecting directly the sectorial scope an de project activity:</w:t>
      </w:r>
    </w:p>
    <w:p w14:paraId="562E106B">
      <w:pPr>
        <w:jc w:val="both"/>
        <w:rPr>
          <w:highlight w:val="none"/>
          <w:lang w:val="en-US"/>
        </w:rPr>
      </w:pPr>
      <w:r>
        <w:rPr>
          <w:highlight w:val="none"/>
          <w:lang w:val="en-GB"/>
        </w:rPr>
        <w:t>-</w:t>
      </w:r>
      <w:r>
        <w:rPr>
          <w:highlight w:val="none"/>
          <w:lang w:val="en-US"/>
        </w:rPr>
        <w:t xml:space="preserve"> The joint resolution 1/2019 or </w:t>
      </w:r>
      <w:r>
        <w:rPr>
          <w:highlight w:val="none"/>
        </w:rPr>
        <w:fldChar w:fldCharType="begin"/>
      </w:r>
      <w:r>
        <w:rPr>
          <w:highlight w:val="none"/>
        </w:rPr>
        <w:instrText xml:space="preserve"> HYPERLINK "https://www.argentina.gob.ar/normativa/nacional/resoluci%C3%B3n-1-2019-318692/texto" </w:instrText>
      </w:r>
      <w:r>
        <w:rPr>
          <w:highlight w:val="none"/>
        </w:rPr>
        <w:fldChar w:fldCharType="separate"/>
      </w:r>
      <w:r>
        <w:rPr>
          <w:rStyle w:val="20"/>
          <w:highlight w:val="none"/>
          <w:lang w:val="en-US"/>
        </w:rPr>
        <w:t>RESFC-2019-1-APN-SECCYMA#SGP</w:t>
      </w:r>
      <w:r>
        <w:rPr>
          <w:rStyle w:val="20"/>
          <w:highlight w:val="none"/>
          <w:lang w:val="en-US"/>
        </w:rPr>
        <w:fldChar w:fldCharType="end"/>
      </w:r>
      <w:r>
        <w:rPr>
          <w:highlight w:val="none"/>
          <w:lang w:val="en-US"/>
        </w:rPr>
        <w:t xml:space="preserve"> determines in Annex 1 the regulatory framework for the production, registration and application of compost.</w:t>
      </w:r>
    </w:p>
    <w:p w14:paraId="334EECCD">
      <w:pPr>
        <w:jc w:val="both"/>
        <w:rPr>
          <w:highlight w:val="none"/>
          <w:lang w:val="en-US"/>
        </w:rPr>
      </w:pPr>
      <w:r>
        <w:rPr>
          <w:highlight w:val="none"/>
          <w:lang w:val="en-US"/>
        </w:rPr>
        <w:t xml:space="preserve">- The </w:t>
      </w:r>
      <w:r>
        <w:rPr>
          <w:highlight w:val="none"/>
        </w:rPr>
        <w:fldChar w:fldCharType="begin"/>
      </w:r>
      <w:r>
        <w:rPr>
          <w:highlight w:val="none"/>
        </w:rPr>
        <w:instrText xml:space="preserve"> HYPERLINK "https://www.argentina.gob.ar/normativa/nacional/ley-25916-98327/texto" </w:instrText>
      </w:r>
      <w:r>
        <w:rPr>
          <w:highlight w:val="none"/>
        </w:rPr>
        <w:fldChar w:fldCharType="separate"/>
      </w:r>
      <w:r>
        <w:rPr>
          <w:rStyle w:val="20"/>
          <w:highlight w:val="none"/>
          <w:lang w:val="en-US"/>
        </w:rPr>
        <w:t>Law 24.916 of Household waste management</w:t>
      </w:r>
      <w:r>
        <w:rPr>
          <w:rStyle w:val="20"/>
          <w:highlight w:val="none"/>
          <w:lang w:val="en-US"/>
        </w:rPr>
        <w:fldChar w:fldCharType="end"/>
      </w:r>
      <w:r>
        <w:rPr>
          <w:highlight w:val="none"/>
          <w:lang w:val="en-US"/>
        </w:rPr>
        <w:t xml:space="preserve">, approved in august 4, 2004 that regulates the urban solid waste treatment. </w:t>
      </w:r>
    </w:p>
    <w:p w14:paraId="68157513">
      <w:pPr>
        <w:jc w:val="both"/>
        <w:rPr>
          <w:highlight w:val="none"/>
          <w:lang w:val="en-US"/>
        </w:rPr>
      </w:pPr>
      <w:r>
        <w:rPr>
          <w:highlight w:val="none"/>
          <w:lang w:val="en-US"/>
        </w:rPr>
        <w:t xml:space="preserve">All the activities within the project boundaries are conducted according to those as well as with the </w:t>
      </w:r>
      <w:r>
        <w:rPr>
          <w:highlight w:val="none"/>
        </w:rPr>
        <w:fldChar w:fldCharType="begin"/>
      </w:r>
      <w:r>
        <w:rPr>
          <w:highlight w:val="none"/>
        </w:rPr>
        <w:instrText xml:space="preserve"> HYPERLINK "https://www.argentina.gob.ar/sites/default/files/pnaymcc_2022_-_vf_resol.pdf" </w:instrText>
      </w:r>
      <w:r>
        <w:rPr>
          <w:highlight w:val="none"/>
        </w:rPr>
        <w:fldChar w:fldCharType="separate"/>
      </w:r>
      <w:r>
        <w:rPr>
          <w:rStyle w:val="20"/>
          <w:highlight w:val="none"/>
          <w:lang w:val="en-US"/>
        </w:rPr>
        <w:t>National Plan of Adaptation and Mitigation to Climate Change 2030</w:t>
      </w:r>
      <w:r>
        <w:rPr>
          <w:rStyle w:val="20"/>
          <w:highlight w:val="none"/>
          <w:lang w:val="en-US"/>
        </w:rPr>
        <w:fldChar w:fldCharType="end"/>
      </w:r>
      <w:r>
        <w:rPr>
          <w:highlight w:val="none"/>
          <w:lang w:val="en-US"/>
        </w:rPr>
        <w:t xml:space="preserve"> in Argentina (2022).</w:t>
      </w:r>
    </w:p>
    <w:p w14:paraId="715CC92F">
      <w:pPr>
        <w:jc w:val="both"/>
        <w:rPr>
          <w:highlight w:val="none"/>
          <w:lang w:val="en-GB"/>
        </w:rPr>
      </w:pPr>
      <w:r>
        <w:rPr>
          <w:highlight w:val="none"/>
          <w:lang w:val="en-US"/>
        </w:rPr>
        <w:t xml:space="preserve">New parameters, activities or requirements could be modified in the future to adapt to possible regulatory changes, therefore, all the policies mentioned will be monitored to ensure that future updates and requirements will be adequately incorporated in the company’s activities and procedures.  </w:t>
      </w:r>
    </w:p>
    <w:p w14:paraId="27ED42C3">
      <w:pPr>
        <w:pStyle w:val="35"/>
        <w:numPr>
          <w:ilvl w:val="0"/>
          <w:numId w:val="0"/>
        </w:numPr>
        <w:snapToGrid w:val="0"/>
        <w:ind w:leftChars="0"/>
        <w:contextualSpacing w:val="0"/>
        <w:rPr>
          <w:rFonts w:hint="default" w:ascii="Arial" w:hAnsi="Arial"/>
          <w:b w:val="0"/>
          <w:bCs w:val="0"/>
          <w:highlight w:val="none"/>
          <w:lang w:val="en-US"/>
        </w:rPr>
      </w:pPr>
    </w:p>
    <w:p w14:paraId="50C526B1">
      <w:pPr>
        <w:pStyle w:val="35"/>
        <w:numPr>
          <w:ilvl w:val="0"/>
          <w:numId w:val="0"/>
        </w:numPr>
        <w:snapToGrid w:val="0"/>
        <w:ind w:leftChars="0"/>
        <w:contextualSpacing w:val="0"/>
        <w:rPr>
          <w:rFonts w:hint="default" w:ascii="Arial" w:hAnsi="Arial"/>
          <w:b w:val="0"/>
          <w:bCs w:val="0"/>
          <w:highlight w:val="none"/>
          <w:lang w:val="en-US"/>
        </w:rPr>
      </w:pPr>
      <w:r>
        <w:rPr>
          <w:rFonts w:hint="default" w:ascii="Arial" w:hAnsi="Arial"/>
          <w:b w:val="0"/>
          <w:bCs w:val="0"/>
          <w:highlight w:val="none"/>
          <w:lang w:val="en-US"/>
        </w:rPr>
        <w:t>All the information mentioned above has been gathered, checked and stored according to the principles applied in the general procedures of QA/QC for emission reductions of GHG of the project (</w:t>
      </w:r>
      <w:r>
        <w:rPr>
          <w:rFonts w:hint="default"/>
          <w:b w:val="0"/>
          <w:bCs w:val="0"/>
          <w:highlight w:val="none"/>
          <w:lang w:val="es-ES"/>
        </w:rPr>
        <w:t>“</w:t>
      </w:r>
      <w:r>
        <w:rPr>
          <w:rFonts w:hint="default" w:ascii="Arial" w:hAnsi="Arial"/>
          <w:b w:val="0"/>
          <w:bCs w:val="0"/>
          <w:highlight w:val="none"/>
          <w:lang w:val="en-US"/>
        </w:rPr>
        <w:t>Procedimientos generales de GC/CC para las reducciones de emisiones de GEI del proyecto</w:t>
      </w:r>
      <w:r>
        <w:rPr>
          <w:rFonts w:hint="default"/>
          <w:b w:val="0"/>
          <w:bCs w:val="0"/>
          <w:highlight w:val="none"/>
          <w:lang w:val="es-ES"/>
        </w:rPr>
        <w:t>”</w:t>
      </w:r>
      <w:r>
        <w:rPr>
          <w:rFonts w:hint="default" w:ascii="Arial" w:hAnsi="Arial"/>
          <w:b w:val="0"/>
          <w:bCs w:val="0"/>
          <w:highlight w:val="none"/>
          <w:lang w:val="en-US"/>
        </w:rPr>
        <w:t xml:space="preserve"> in Spanish).</w:t>
      </w:r>
    </w:p>
    <w:p w14:paraId="23421BB6">
      <w:pPr>
        <w:pStyle w:val="35"/>
        <w:numPr>
          <w:ilvl w:val="0"/>
          <w:numId w:val="0"/>
        </w:numPr>
        <w:snapToGrid w:val="0"/>
        <w:ind w:leftChars="0"/>
        <w:contextualSpacing w:val="0"/>
        <w:rPr>
          <w:rFonts w:hint="default" w:ascii="Arial" w:hAnsi="Arial"/>
          <w:b w:val="0"/>
          <w:bCs w:val="0"/>
          <w:highlight w:val="none"/>
          <w:lang w:val="en-US"/>
        </w:rPr>
      </w:pPr>
    </w:p>
    <w:p w14:paraId="419FEEE3">
      <w:pPr>
        <w:pStyle w:val="35"/>
        <w:numPr>
          <w:ilvl w:val="0"/>
          <w:numId w:val="13"/>
        </w:numPr>
        <w:snapToGrid w:val="0"/>
        <w:ind w:left="425" w:leftChars="0" w:hanging="425" w:firstLineChars="0"/>
        <w:contextualSpacing w:val="0"/>
        <w:rPr>
          <w:rFonts w:hint="default" w:ascii="Arial Bold" w:hAnsi="Arial Bold" w:cs="Arial Bold"/>
          <w:b/>
          <w:bCs/>
          <w:highlight w:val="none"/>
          <w:lang w:val="en-US"/>
        </w:rPr>
      </w:pPr>
      <w:r>
        <w:rPr>
          <w:rFonts w:hint="default" w:ascii="Arial Bold" w:hAnsi="Arial Bold" w:cs="Arial Bold"/>
          <w:b/>
          <w:bCs/>
          <w:highlight w:val="none"/>
          <w:lang w:val="es-ES"/>
        </w:rPr>
        <w:t>D</w:t>
      </w:r>
      <w:r>
        <w:rPr>
          <w:rFonts w:hint="default" w:ascii="Arial Bold" w:hAnsi="Arial Bold" w:cs="Arial Bold"/>
          <w:b/>
          <w:bCs/>
          <w:highlight w:val="none"/>
          <w:lang w:val="en-US"/>
        </w:rPr>
        <w:t>escription of established procedures for periodic calculation of GHG emission reductions or removals and leakage</w:t>
      </w:r>
    </w:p>
    <w:p w14:paraId="417B5F84">
      <w:pPr>
        <w:pStyle w:val="35"/>
        <w:numPr>
          <w:ilvl w:val="0"/>
          <w:numId w:val="0"/>
        </w:numPr>
        <w:snapToGrid w:val="0"/>
        <w:ind w:leftChars="0"/>
        <w:contextualSpacing w:val="0"/>
        <w:rPr>
          <w:rFonts w:hint="default" w:ascii="Arial" w:hAnsi="Arial" w:cs="Arial"/>
          <w:b w:val="0"/>
          <w:bCs w:val="0"/>
          <w:highlight w:val="none"/>
          <w:lang w:val="en-US"/>
        </w:rPr>
      </w:pPr>
      <w:r>
        <w:rPr>
          <w:rFonts w:hint="default" w:cs="Arial"/>
          <w:b w:val="0"/>
          <w:bCs w:val="0"/>
          <w:highlight w:val="none"/>
          <w:lang w:val="es-ES"/>
        </w:rPr>
        <w:t>P</w:t>
      </w:r>
      <w:r>
        <w:rPr>
          <w:rFonts w:hint="default" w:ascii="Arial" w:hAnsi="Arial" w:cs="Arial"/>
          <w:b w:val="0"/>
          <w:bCs w:val="0"/>
          <w:highlight w:val="none"/>
          <w:lang w:val="en-US"/>
        </w:rPr>
        <w:t xml:space="preserve">roject’s reductions will be calculated following the last version of CDM methodology AMS-III.F, and all of its tools. </w:t>
      </w:r>
      <w:r>
        <w:rPr>
          <w:rFonts w:hint="default" w:cs="Arial"/>
          <w:b w:val="0"/>
          <w:bCs w:val="0"/>
          <w:highlight w:val="none"/>
          <w:lang w:val="es-ES"/>
        </w:rPr>
        <w:t>T</w:t>
      </w:r>
      <w:r>
        <w:rPr>
          <w:rFonts w:hint="default" w:ascii="Arial" w:hAnsi="Arial" w:cs="Arial"/>
          <w:b w:val="0"/>
          <w:bCs w:val="0"/>
          <w:highlight w:val="none"/>
          <w:lang w:val="en-US"/>
        </w:rPr>
        <w:t>he project holder will ensure that the tools, methodologies and standards are updated in their last version before every calculation. The calculation of emission reductions will be done every three years, as the monitoring period establishes.</w:t>
      </w:r>
    </w:p>
    <w:p w14:paraId="69A9136D">
      <w:pPr>
        <w:pStyle w:val="35"/>
        <w:numPr>
          <w:ilvl w:val="0"/>
          <w:numId w:val="0"/>
        </w:numPr>
        <w:snapToGrid w:val="0"/>
        <w:ind w:leftChars="0"/>
        <w:contextualSpacing w:val="0"/>
        <w:rPr>
          <w:rFonts w:hint="default" w:ascii="Arial Bold" w:hAnsi="Arial Bold" w:cs="Arial Bold"/>
          <w:b/>
          <w:bCs/>
          <w:highlight w:val="none"/>
          <w:lang w:val="en-US"/>
        </w:rPr>
      </w:pPr>
    </w:p>
    <w:p w14:paraId="3612D615">
      <w:pPr>
        <w:pStyle w:val="35"/>
        <w:numPr>
          <w:ilvl w:val="0"/>
          <w:numId w:val="13"/>
        </w:numPr>
        <w:snapToGrid w:val="0"/>
        <w:ind w:left="425" w:leftChars="0" w:hanging="425" w:firstLineChars="0"/>
        <w:contextualSpacing w:val="0"/>
        <w:rPr>
          <w:rFonts w:hint="default" w:ascii="Arial Bold" w:hAnsi="Arial Bold" w:cs="Arial Bold"/>
          <w:b/>
          <w:bCs/>
          <w:highlight w:val="none"/>
          <w:lang w:val="en-US"/>
        </w:rPr>
      </w:pPr>
      <w:r>
        <w:rPr>
          <w:rFonts w:hint="default" w:ascii="Arial Bold" w:hAnsi="Arial Bold" w:cs="Arial Bold"/>
          <w:b/>
          <w:bCs/>
          <w:highlight w:val="none"/>
          <w:lang w:val="es-ES"/>
        </w:rPr>
        <w:t>A</w:t>
      </w:r>
      <w:r>
        <w:rPr>
          <w:rFonts w:hint="default" w:ascii="Arial Bold" w:hAnsi="Arial Bold" w:cs="Arial Bold"/>
          <w:b/>
          <w:bCs/>
          <w:highlight w:val="none"/>
          <w:lang w:val="en-US"/>
        </w:rPr>
        <w:t>ssignment of roles and responsibilities for monitoring and reporting of variables relevant to the calculation of GHG emission reductions or removals</w:t>
      </w:r>
    </w:p>
    <w:p w14:paraId="2B835188">
      <w:pPr>
        <w:pStyle w:val="35"/>
        <w:numPr>
          <w:ilvl w:val="0"/>
          <w:numId w:val="0"/>
        </w:numPr>
        <w:snapToGrid w:val="0"/>
        <w:spacing w:before="120" w:after="240" w:line="276" w:lineRule="auto"/>
        <w:contextualSpacing w:val="0"/>
        <w:jc w:val="both"/>
        <w:rPr>
          <w:rFonts w:hint="default" w:ascii="Arial" w:hAnsi="Arial"/>
          <w:b w:val="0"/>
          <w:bCs w:val="0"/>
          <w:highlight w:val="none"/>
          <w:lang w:val="es-ES"/>
        </w:rPr>
      </w:pPr>
      <w:r>
        <w:rPr>
          <w:rFonts w:hint="default" w:ascii="Arial" w:hAnsi="Arial"/>
          <w:b w:val="0"/>
          <w:bCs w:val="0"/>
          <w:highlight w:val="none"/>
          <w:lang w:val="en-US"/>
        </w:rPr>
        <w:t>Monitoring of the entire project and its calculations will be carried out by the person in charge of general management</w:t>
      </w:r>
      <w:r>
        <w:rPr>
          <w:rFonts w:hint="default"/>
          <w:b w:val="0"/>
          <w:bCs w:val="0"/>
          <w:highlight w:val="none"/>
          <w:lang w:val="es-ES"/>
        </w:rPr>
        <w:t xml:space="preserve"> of Worms Argentina S.A.</w:t>
      </w:r>
    </w:p>
    <w:p w14:paraId="0F1F5112">
      <w:pPr>
        <w:pStyle w:val="35"/>
        <w:numPr>
          <w:ilvl w:val="0"/>
          <w:numId w:val="0"/>
        </w:numPr>
        <w:snapToGrid w:val="0"/>
        <w:spacing w:before="120" w:after="240" w:line="276" w:lineRule="auto"/>
        <w:contextualSpacing w:val="0"/>
        <w:jc w:val="both"/>
        <w:rPr>
          <w:rFonts w:hint="default" w:ascii="Arial" w:hAnsi="Arial"/>
          <w:b w:val="0"/>
          <w:bCs w:val="0"/>
          <w:highlight w:val="none"/>
          <w:lang w:val="en-US"/>
        </w:rPr>
      </w:pPr>
    </w:p>
    <w:p w14:paraId="3D51BB15">
      <w:pPr>
        <w:pStyle w:val="35"/>
        <w:numPr>
          <w:ilvl w:val="0"/>
          <w:numId w:val="13"/>
        </w:numPr>
        <w:snapToGrid w:val="0"/>
        <w:ind w:left="425" w:leftChars="0" w:hanging="425" w:firstLineChars="0"/>
        <w:contextualSpacing w:val="0"/>
        <w:rPr>
          <w:rFonts w:hint="default" w:ascii="Arial Bold" w:hAnsi="Arial Bold" w:cs="Arial Bold"/>
          <w:b/>
          <w:bCs/>
          <w:highlight w:val="none"/>
          <w:lang w:val="en-US"/>
        </w:rPr>
      </w:pPr>
      <w:r>
        <w:rPr>
          <w:rFonts w:hint="default" w:ascii="Arial Bold" w:hAnsi="Arial Bold" w:cs="Arial Bold"/>
          <w:b/>
          <w:bCs/>
          <w:highlight w:val="none"/>
          <w:lang w:val="es-ES"/>
        </w:rPr>
        <w:t>P</w:t>
      </w:r>
      <w:r>
        <w:rPr>
          <w:rFonts w:hint="default" w:ascii="Arial Bold" w:hAnsi="Arial Bold" w:cs="Arial Bold"/>
          <w:b/>
          <w:bCs/>
          <w:highlight w:val="none"/>
          <w:lang w:val="en-US"/>
        </w:rPr>
        <w:t>rocedures for assessing the project's contribution to the Sustainable Development Goals (SDGs)</w:t>
      </w:r>
    </w:p>
    <w:p w14:paraId="2DDA4F7A">
      <w:pPr>
        <w:pStyle w:val="35"/>
        <w:numPr>
          <w:ilvl w:val="0"/>
          <w:numId w:val="0"/>
        </w:numPr>
        <w:snapToGrid w:val="0"/>
        <w:spacing w:before="120" w:after="240" w:line="276" w:lineRule="auto"/>
        <w:contextualSpacing w:val="0"/>
        <w:jc w:val="both"/>
        <w:rPr>
          <w:rFonts w:hint="default" w:ascii="Arial" w:hAnsi="Arial" w:cs="Arial"/>
          <w:b w:val="0"/>
          <w:bCs w:val="0"/>
          <w:highlight w:val="none"/>
          <w:lang w:val="en-US"/>
        </w:rPr>
      </w:pPr>
      <w:r>
        <w:rPr>
          <w:rFonts w:hint="default" w:ascii="Arial" w:hAnsi="Arial" w:cs="Arial"/>
          <w:b w:val="0"/>
          <w:bCs w:val="0"/>
          <w:highlight w:val="none"/>
          <w:lang w:val="en-US"/>
        </w:rPr>
        <w:t>The procedures to assess the project’s contribution to SDG depends on the nature of the information required to monitor the extent of the contribution:</w:t>
      </w:r>
    </w:p>
    <w:tbl>
      <w:tblPr>
        <w:tblStyle w:val="12"/>
        <w:tblW w:w="8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6" w:type="dxa"/>
          <w:left w:w="98" w:type="dxa"/>
          <w:bottom w:w="0" w:type="dxa"/>
          <w:right w:w="61" w:type="dxa"/>
        </w:tblCellMar>
      </w:tblPr>
      <w:tblGrid>
        <w:gridCol w:w="3714"/>
        <w:gridCol w:w="4694"/>
      </w:tblGrid>
      <w:tr w14:paraId="170F4D9F">
        <w:trPr>
          <w:trHeight w:val="14" w:hRule="atLeast"/>
          <w:jc w:val="center"/>
        </w:trPr>
        <w:tc>
          <w:tcPr>
            <w:tcW w:w="3714" w:type="dxa"/>
            <w:shd w:val="clear" w:color="auto" w:fill="FFFFFF" w:themeFill="background1"/>
          </w:tcPr>
          <w:p w14:paraId="0CA03CCE">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contextualSpacing w:val="0"/>
              <w:jc w:val="both"/>
              <w:textAlignment w:val="auto"/>
              <w:rPr>
                <w:rFonts w:hint="default" w:ascii="Arial" w:hAnsi="Arial" w:cs="Arial"/>
                <w:b w:val="0"/>
                <w:bCs w:val="0"/>
                <w:highlight w:val="none"/>
                <w:lang w:val="en-US"/>
              </w:rPr>
            </w:pPr>
            <w:r>
              <w:rPr>
                <w:rFonts w:hint="default" w:ascii="Arial" w:hAnsi="Arial" w:cs="Arial"/>
                <w:b w:val="0"/>
                <w:bCs w:val="0"/>
                <w:highlight w:val="none"/>
                <w:lang w:val="en-US"/>
              </w:rPr>
              <w:t>SDG</w:t>
            </w:r>
          </w:p>
        </w:tc>
        <w:tc>
          <w:tcPr>
            <w:tcW w:w="4694" w:type="dxa"/>
            <w:shd w:val="clear" w:color="auto" w:fill="FFFFFF" w:themeFill="background1"/>
          </w:tcPr>
          <w:p w14:paraId="7123389C">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contextualSpacing w:val="0"/>
              <w:jc w:val="both"/>
              <w:textAlignment w:val="auto"/>
              <w:rPr>
                <w:rFonts w:hint="default" w:ascii="Arial" w:hAnsi="Arial" w:cs="Arial"/>
                <w:b w:val="0"/>
                <w:bCs w:val="0"/>
                <w:highlight w:val="none"/>
                <w:lang w:val="en-US"/>
              </w:rPr>
            </w:pPr>
            <w:r>
              <w:rPr>
                <w:rFonts w:hint="default" w:ascii="Arial" w:hAnsi="Arial" w:cs="Arial"/>
                <w:b w:val="0"/>
                <w:bCs w:val="0"/>
                <w:highlight w:val="none"/>
                <w:lang w:val="en-US"/>
              </w:rPr>
              <w:t>Procedure</w:t>
            </w:r>
          </w:p>
        </w:tc>
      </w:tr>
      <w:tr w14:paraId="0818DCD5">
        <w:trPr>
          <w:trHeight w:val="1183" w:hRule="atLeast"/>
          <w:jc w:val="center"/>
        </w:trPr>
        <w:tc>
          <w:tcPr>
            <w:tcW w:w="3714" w:type="dxa"/>
          </w:tcPr>
          <w:p w14:paraId="04923986">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contextualSpacing w:val="0"/>
              <w:jc w:val="both"/>
              <w:textAlignment w:val="auto"/>
              <w:rPr>
                <w:rFonts w:hint="default" w:ascii="Arial" w:hAnsi="Arial" w:cs="Arial"/>
                <w:b w:val="0"/>
                <w:bCs w:val="0"/>
                <w:highlight w:val="none"/>
                <w:lang w:val="es-ES"/>
              </w:rPr>
            </w:pPr>
            <w:r>
              <w:rPr>
                <w:rFonts w:hint="default" w:cs="Arial"/>
                <w:b w:val="0"/>
                <w:bCs w:val="0"/>
                <w:highlight w:val="none"/>
                <w:lang w:val="es-ES"/>
              </w:rPr>
              <w:t xml:space="preserve">SDG </w:t>
            </w:r>
            <w:r>
              <w:rPr>
                <w:rFonts w:hint="default" w:ascii="Arial" w:hAnsi="Arial" w:cs="Arial"/>
                <w:b w:val="0"/>
                <w:bCs w:val="0"/>
                <w:highlight w:val="none"/>
                <w:lang w:val="en-US"/>
              </w:rPr>
              <w:t>9</w:t>
            </w:r>
            <w:r>
              <w:rPr>
                <w:rFonts w:hint="default" w:cs="Arial"/>
                <w:b w:val="0"/>
                <w:bCs w:val="0"/>
                <w:highlight w:val="none"/>
                <w:lang w:val="es-ES"/>
              </w:rPr>
              <w:t xml:space="preserve"> - I</w:t>
            </w:r>
            <w:r>
              <w:rPr>
                <w:color w:val="000000"/>
                <w:highlight w:val="none"/>
                <w:lang w:val="en-US"/>
              </w:rPr>
              <w:t>ndustry, Innovation and Infrastructure</w:t>
            </w:r>
            <w:r>
              <w:rPr>
                <w:rFonts w:hint="default"/>
                <w:color w:val="000000"/>
                <w:highlight w:val="none"/>
                <w:lang w:val="es-ES"/>
              </w:rPr>
              <w:t>.</w:t>
            </w:r>
          </w:p>
        </w:tc>
        <w:tc>
          <w:tcPr>
            <w:tcW w:w="4694" w:type="dxa"/>
          </w:tcPr>
          <w:p w14:paraId="082C28BF">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contextualSpacing w:val="0"/>
              <w:jc w:val="both"/>
              <w:textAlignment w:val="auto"/>
              <w:rPr>
                <w:rFonts w:hint="default" w:ascii="Arial" w:hAnsi="Arial" w:cs="Arial"/>
                <w:b w:val="0"/>
                <w:bCs w:val="0"/>
                <w:highlight w:val="none"/>
                <w:lang w:val="es-ES"/>
              </w:rPr>
            </w:pPr>
            <w:r>
              <w:rPr>
                <w:rFonts w:hint="default"/>
                <w:color w:val="000000"/>
                <w:highlight w:val="none"/>
                <w:vertAlign w:val="baseline"/>
                <w:lang w:val="es-ES"/>
              </w:rPr>
              <w:t>Anual control of the proportion of local people employed in total number of employees (%). This will be checked with the contracts and payrolls and the employees information.</w:t>
            </w:r>
          </w:p>
        </w:tc>
      </w:tr>
      <w:tr w14:paraId="24377CA8">
        <w:trPr>
          <w:trHeight w:val="15" w:hRule="atLeast"/>
          <w:jc w:val="center"/>
        </w:trPr>
        <w:tc>
          <w:tcPr>
            <w:tcW w:w="3714" w:type="dxa"/>
          </w:tcPr>
          <w:p w14:paraId="05A6A58C">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contextualSpacing w:val="0"/>
              <w:jc w:val="both"/>
              <w:textAlignment w:val="auto"/>
              <w:rPr>
                <w:rFonts w:hint="default" w:ascii="Arial" w:hAnsi="Arial" w:cs="Arial"/>
                <w:b w:val="0"/>
                <w:bCs w:val="0"/>
                <w:highlight w:val="none"/>
                <w:lang w:val="es-ES"/>
              </w:rPr>
            </w:pPr>
            <w:r>
              <w:rPr>
                <w:rFonts w:hint="default" w:cs="Arial"/>
                <w:b w:val="0"/>
                <w:bCs w:val="0"/>
                <w:highlight w:val="none"/>
                <w:lang w:val="es-ES"/>
              </w:rPr>
              <w:t xml:space="preserve">SDG </w:t>
            </w:r>
            <w:r>
              <w:rPr>
                <w:rFonts w:hint="default" w:ascii="Arial" w:hAnsi="Arial" w:cs="Arial"/>
                <w:b w:val="0"/>
                <w:bCs w:val="0"/>
                <w:highlight w:val="none"/>
                <w:lang w:val="en-US"/>
              </w:rPr>
              <w:t>11</w:t>
            </w:r>
            <w:r>
              <w:rPr>
                <w:rFonts w:hint="default" w:cs="Arial"/>
                <w:b w:val="0"/>
                <w:bCs w:val="0"/>
                <w:highlight w:val="none"/>
                <w:lang w:val="es-ES"/>
              </w:rPr>
              <w:t xml:space="preserve"> - </w:t>
            </w:r>
            <w:r>
              <w:rPr>
                <w:color w:val="000000"/>
                <w:highlight w:val="none"/>
                <w:lang w:val="en-US"/>
              </w:rPr>
              <w:t>Sustainable Cities and Communities</w:t>
            </w:r>
          </w:p>
        </w:tc>
        <w:tc>
          <w:tcPr>
            <w:tcW w:w="4694" w:type="dxa"/>
            <w:vAlign w:val="center"/>
          </w:tcPr>
          <w:p w14:paraId="3D48095E">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contextualSpacing w:val="0"/>
              <w:jc w:val="both"/>
              <w:textAlignment w:val="auto"/>
              <w:rPr>
                <w:rFonts w:hint="default" w:ascii="Arial" w:hAnsi="Arial" w:cs="Arial"/>
                <w:b w:val="0"/>
                <w:bCs w:val="0"/>
                <w:highlight w:val="none"/>
                <w:lang w:val="es-ES"/>
              </w:rPr>
            </w:pPr>
            <w:r>
              <w:rPr>
                <w:rFonts w:hint="default" w:cs="Arial"/>
                <w:b w:val="0"/>
                <w:bCs w:val="0"/>
                <w:highlight w:val="none"/>
                <w:lang w:val="es-ES"/>
              </w:rPr>
              <w:t xml:space="preserve">Control of the organic waste composted by Worms Argentina S.A., will be checked with the cargo control </w:t>
            </w:r>
            <w:r>
              <w:rPr>
                <w:rFonts w:hint="default"/>
                <w:b w:val="0"/>
                <w:bCs w:val="0"/>
                <w:highlight w:val="none"/>
                <w:lang w:val="es-ES"/>
              </w:rPr>
              <w:t>and delivery notes of the trucks.</w:t>
            </w:r>
          </w:p>
        </w:tc>
      </w:tr>
      <w:tr w14:paraId="738A3524">
        <w:trPr>
          <w:trHeight w:val="15" w:hRule="atLeast"/>
          <w:jc w:val="center"/>
        </w:trPr>
        <w:tc>
          <w:tcPr>
            <w:tcW w:w="3714" w:type="dxa"/>
          </w:tcPr>
          <w:p w14:paraId="600EA067">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contextualSpacing w:val="0"/>
              <w:jc w:val="both"/>
              <w:textAlignment w:val="auto"/>
              <w:rPr>
                <w:rFonts w:hint="default" w:ascii="Arial" w:hAnsi="Arial" w:cs="Arial"/>
                <w:b w:val="0"/>
                <w:bCs w:val="0"/>
                <w:highlight w:val="none"/>
                <w:lang w:val="en-US"/>
              </w:rPr>
            </w:pPr>
            <w:r>
              <w:rPr>
                <w:rFonts w:hint="default" w:cs="Arial"/>
                <w:b w:val="0"/>
                <w:bCs w:val="0"/>
                <w:highlight w:val="none"/>
                <w:lang w:val="es-ES"/>
              </w:rPr>
              <w:t xml:space="preserve">SDG </w:t>
            </w:r>
            <w:r>
              <w:rPr>
                <w:rFonts w:hint="default" w:ascii="Arial" w:hAnsi="Arial" w:cs="Arial"/>
                <w:b w:val="0"/>
                <w:bCs w:val="0"/>
                <w:highlight w:val="none"/>
                <w:lang w:val="en-US"/>
              </w:rPr>
              <w:t>12</w:t>
            </w:r>
            <w:r>
              <w:rPr>
                <w:rFonts w:hint="default" w:cs="Arial"/>
                <w:b w:val="0"/>
                <w:bCs w:val="0"/>
                <w:highlight w:val="none"/>
                <w:lang w:val="es-ES"/>
              </w:rPr>
              <w:t xml:space="preserve"> - </w:t>
            </w:r>
            <w:r>
              <w:rPr>
                <w:color w:val="000000"/>
                <w:highlight w:val="none"/>
                <w:lang w:val="en-US"/>
              </w:rPr>
              <w:t>Responsible consumption and production:</w:t>
            </w:r>
            <w:r>
              <w:rPr>
                <w:rFonts w:hint="default" w:ascii="Arial" w:hAnsi="Arial" w:cs="Arial"/>
                <w:b w:val="0"/>
                <w:bCs w:val="0"/>
                <w:highlight w:val="none"/>
                <w:lang w:val="en-US"/>
              </w:rPr>
              <w:t xml:space="preserve"> </w:t>
            </w:r>
          </w:p>
        </w:tc>
        <w:tc>
          <w:tcPr>
            <w:tcW w:w="4694" w:type="dxa"/>
            <w:vAlign w:val="center"/>
          </w:tcPr>
          <w:p w14:paraId="18BC3B40">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contextualSpacing w:val="0"/>
              <w:jc w:val="both"/>
              <w:textAlignment w:val="auto"/>
              <w:rPr>
                <w:rFonts w:hint="default" w:ascii="Arial" w:hAnsi="Arial" w:cs="Arial"/>
                <w:b w:val="0"/>
                <w:bCs w:val="0"/>
                <w:highlight w:val="none"/>
                <w:lang w:val="es-ES"/>
              </w:rPr>
            </w:pPr>
            <w:r>
              <w:rPr>
                <w:rFonts w:hint="default"/>
                <w:lang w:val="es-ES"/>
              </w:rPr>
              <w:t xml:space="preserve">Control of </w:t>
            </w:r>
            <w:r>
              <w:rPr>
                <w:rFonts w:hint="default"/>
              </w:rPr>
              <w:t>quantity of materials recycled in the biocomposting process</w:t>
            </w:r>
          </w:p>
        </w:tc>
      </w:tr>
      <w:tr w14:paraId="1B2FAB3A">
        <w:trPr>
          <w:trHeight w:val="15" w:hRule="atLeast"/>
          <w:jc w:val="center"/>
        </w:trPr>
        <w:tc>
          <w:tcPr>
            <w:tcW w:w="3714" w:type="dxa"/>
          </w:tcPr>
          <w:p w14:paraId="0DFB96BC">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contextualSpacing w:val="0"/>
              <w:jc w:val="both"/>
              <w:textAlignment w:val="auto"/>
              <w:rPr>
                <w:rFonts w:hint="default" w:ascii="Arial" w:hAnsi="Arial" w:cs="Arial"/>
                <w:b w:val="0"/>
                <w:bCs w:val="0"/>
                <w:highlight w:val="none"/>
                <w:lang w:val="en-US"/>
              </w:rPr>
            </w:pPr>
            <w:r>
              <w:rPr>
                <w:rFonts w:hint="default" w:cs="Arial"/>
                <w:b w:val="0"/>
                <w:bCs w:val="0"/>
                <w:highlight w:val="none"/>
                <w:lang w:val="es-ES"/>
              </w:rPr>
              <w:t xml:space="preserve">SDG </w:t>
            </w:r>
            <w:r>
              <w:rPr>
                <w:rFonts w:hint="default" w:ascii="Arial" w:hAnsi="Arial" w:cs="Arial"/>
                <w:b w:val="0"/>
                <w:bCs w:val="0"/>
                <w:highlight w:val="none"/>
                <w:lang w:val="en-US"/>
              </w:rPr>
              <w:t>13</w:t>
            </w:r>
            <w:r>
              <w:rPr>
                <w:rFonts w:hint="default" w:cs="Arial"/>
                <w:b w:val="0"/>
                <w:bCs w:val="0"/>
                <w:highlight w:val="none"/>
                <w:lang w:val="es-ES"/>
              </w:rPr>
              <w:t xml:space="preserve"> - </w:t>
            </w:r>
            <w:r>
              <w:rPr>
                <w:color w:val="000000"/>
                <w:highlight w:val="none"/>
                <w:lang w:val="en-US"/>
              </w:rPr>
              <w:t>Climate action: Continue along the same path in the fight against climate change</w:t>
            </w:r>
          </w:p>
        </w:tc>
        <w:tc>
          <w:tcPr>
            <w:tcW w:w="4694" w:type="dxa"/>
            <w:vAlign w:val="center"/>
          </w:tcPr>
          <w:p w14:paraId="2CD66E28">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contextualSpacing w:val="0"/>
              <w:jc w:val="both"/>
              <w:textAlignment w:val="auto"/>
              <w:rPr>
                <w:rFonts w:hint="default" w:ascii="Arial" w:hAnsi="Arial" w:cs="Arial"/>
                <w:b w:val="0"/>
                <w:bCs w:val="0"/>
                <w:highlight w:val="none"/>
                <w:lang w:val="en-US"/>
              </w:rPr>
            </w:pPr>
            <w:r>
              <w:rPr>
                <w:rFonts w:hint="default" w:ascii="Arial" w:hAnsi="Arial" w:cs="Arial"/>
                <w:b w:val="0"/>
                <w:bCs w:val="0"/>
                <w:highlight w:val="none"/>
                <w:lang w:val="en-US"/>
              </w:rPr>
              <w:t xml:space="preserve">To monitor and control the emissions avoided by composting organic waste instead of its deposition in landfills. </w:t>
            </w:r>
          </w:p>
        </w:tc>
      </w:tr>
    </w:tbl>
    <w:p w14:paraId="640C87CF">
      <w:pPr>
        <w:pStyle w:val="35"/>
        <w:numPr>
          <w:ilvl w:val="0"/>
          <w:numId w:val="0"/>
        </w:numPr>
        <w:snapToGrid w:val="0"/>
        <w:spacing w:before="120" w:after="240" w:line="276" w:lineRule="auto"/>
        <w:contextualSpacing w:val="0"/>
        <w:jc w:val="both"/>
        <w:rPr>
          <w:rFonts w:hint="default" w:ascii="Arial" w:hAnsi="Arial" w:cs="Arial"/>
          <w:b w:val="0"/>
          <w:bCs w:val="0"/>
          <w:highlight w:val="none"/>
          <w:lang w:val="en-US"/>
        </w:rPr>
      </w:pPr>
    </w:p>
    <w:p w14:paraId="6DA875A2">
      <w:pPr>
        <w:pStyle w:val="35"/>
        <w:numPr>
          <w:ilvl w:val="0"/>
          <w:numId w:val="13"/>
        </w:numPr>
        <w:snapToGrid w:val="0"/>
        <w:ind w:left="425" w:leftChars="0" w:hanging="425" w:firstLineChars="0"/>
        <w:contextualSpacing w:val="0"/>
        <w:rPr>
          <w:rFonts w:hint="default" w:ascii="Arial Bold" w:hAnsi="Arial Bold" w:cs="Arial Bold"/>
          <w:b/>
          <w:bCs/>
          <w:highlight w:val="none"/>
          <w:lang w:val="en-US"/>
        </w:rPr>
      </w:pPr>
      <w:r>
        <w:rPr>
          <w:rFonts w:hint="default" w:ascii="Arial Bold" w:hAnsi="Arial Bold" w:cs="Arial Bold"/>
          <w:b/>
          <w:bCs/>
          <w:highlight w:val="none"/>
          <w:lang w:val="es-ES"/>
        </w:rPr>
        <w:t>C</w:t>
      </w:r>
      <w:r>
        <w:rPr>
          <w:rFonts w:hint="default" w:ascii="Arial Bold" w:hAnsi="Arial Bold" w:cs="Arial Bold"/>
          <w:b/>
          <w:bCs/>
          <w:highlight w:val="none"/>
          <w:lang w:val="en-US"/>
        </w:rPr>
        <w:t>riteria and indicators related to the project's contribution to sustainable development goals, applicable to the project activities proposed by the project holder</w:t>
      </w:r>
    </w:p>
    <w:tbl>
      <w:tblPr>
        <w:tblStyle w:val="1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6" w:type="dxa"/>
          <w:left w:w="98" w:type="dxa"/>
          <w:bottom w:w="0" w:type="dxa"/>
          <w:right w:w="61" w:type="dxa"/>
        </w:tblCellMar>
      </w:tblPr>
      <w:tblGrid>
        <w:gridCol w:w="4156"/>
        <w:gridCol w:w="4349"/>
      </w:tblGrid>
      <w:tr w14:paraId="3293182A">
        <w:trPr>
          <w:trHeight w:val="24" w:hRule="atLeast"/>
          <w:jc w:val="center"/>
        </w:trPr>
        <w:tc>
          <w:tcPr>
            <w:tcW w:w="4156" w:type="dxa"/>
            <w:shd w:val="clear" w:color="auto" w:fill="F1F1F1" w:themeFill="background1" w:themeFillShade="F2"/>
            <w:vAlign w:val="center"/>
          </w:tcPr>
          <w:p w14:paraId="07B4A6FA">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contextualSpacing w:val="0"/>
              <w:jc w:val="both"/>
              <w:textAlignment w:val="auto"/>
              <w:rPr>
                <w:rFonts w:hint="default" w:ascii="Arial" w:hAnsi="Arial" w:cs="Arial"/>
                <w:b w:val="0"/>
                <w:bCs w:val="0"/>
                <w:highlight w:val="none"/>
                <w:lang w:val="en-US"/>
              </w:rPr>
            </w:pPr>
            <w:r>
              <w:rPr>
                <w:rFonts w:hint="default" w:ascii="Arial" w:hAnsi="Arial" w:cs="Arial"/>
                <w:b w:val="0"/>
                <w:bCs w:val="0"/>
                <w:highlight w:val="none"/>
                <w:lang w:val="en-US"/>
              </w:rPr>
              <w:t>Criteria and indicators</w:t>
            </w:r>
          </w:p>
        </w:tc>
        <w:tc>
          <w:tcPr>
            <w:tcW w:w="4349" w:type="dxa"/>
            <w:shd w:val="clear" w:color="auto" w:fill="F1F1F1" w:themeFill="background1" w:themeFillShade="F2"/>
            <w:vAlign w:val="center"/>
          </w:tcPr>
          <w:p w14:paraId="584C59A7">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contextualSpacing w:val="0"/>
              <w:jc w:val="both"/>
              <w:textAlignment w:val="auto"/>
              <w:rPr>
                <w:rFonts w:hint="default" w:ascii="Arial" w:hAnsi="Arial" w:cs="Arial"/>
                <w:b w:val="0"/>
                <w:bCs w:val="0"/>
                <w:highlight w:val="none"/>
                <w:lang w:val="es-ES"/>
              </w:rPr>
            </w:pPr>
            <w:r>
              <w:rPr>
                <w:rFonts w:hint="default" w:ascii="Arial" w:hAnsi="Arial" w:cs="Arial"/>
                <w:b w:val="0"/>
                <w:bCs w:val="0"/>
                <w:highlight w:val="none"/>
                <w:lang w:val="en-US"/>
              </w:rPr>
              <w:t>Measure</w:t>
            </w:r>
            <w:r>
              <w:rPr>
                <w:rFonts w:hint="default" w:ascii="Arial" w:hAnsi="Arial" w:cs="Arial"/>
                <w:b w:val="0"/>
                <w:bCs w:val="0"/>
                <w:highlight w:val="none"/>
                <w:lang w:val="es-ES"/>
              </w:rPr>
              <w:t xml:space="preserve"> (unit)</w:t>
            </w:r>
          </w:p>
        </w:tc>
      </w:tr>
      <w:tr w14:paraId="3345A684">
        <w:trPr>
          <w:trHeight w:val="15" w:hRule="atLeast"/>
          <w:jc w:val="center"/>
        </w:trPr>
        <w:tc>
          <w:tcPr>
            <w:tcW w:w="4156" w:type="dxa"/>
            <w:vAlign w:val="top"/>
          </w:tcPr>
          <w:p w14:paraId="469F738E">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firstLine="0" w:firstLineChars="0"/>
              <w:contextualSpacing w:val="0"/>
              <w:jc w:val="both"/>
              <w:textAlignment w:val="auto"/>
              <w:rPr>
                <w:rFonts w:hint="default" w:ascii="Arial" w:hAnsi="Arial" w:cs="Arial"/>
                <w:b w:val="0"/>
                <w:bCs w:val="0"/>
                <w:highlight w:val="none"/>
                <w:lang w:val="en-GB"/>
              </w:rPr>
            </w:pPr>
            <w:r>
              <w:rPr>
                <w:rFonts w:hint="default" w:cs="Arial"/>
                <w:b w:val="0"/>
                <w:bCs w:val="0"/>
                <w:highlight w:val="none"/>
                <w:lang w:val="es-ES"/>
              </w:rPr>
              <w:t xml:space="preserve">SDG </w:t>
            </w:r>
            <w:r>
              <w:rPr>
                <w:rFonts w:hint="default" w:ascii="Arial" w:hAnsi="Arial" w:cs="Arial"/>
                <w:b w:val="0"/>
                <w:bCs w:val="0"/>
                <w:highlight w:val="none"/>
                <w:lang w:val="en-US"/>
              </w:rPr>
              <w:t>9</w:t>
            </w:r>
            <w:r>
              <w:rPr>
                <w:rFonts w:hint="default" w:cs="Arial"/>
                <w:b w:val="0"/>
                <w:bCs w:val="0"/>
                <w:highlight w:val="none"/>
                <w:lang w:val="es-ES"/>
              </w:rPr>
              <w:t xml:space="preserve">, indicator 9.2.2. </w:t>
            </w:r>
            <w:r>
              <w:rPr>
                <w:rFonts w:hint="default"/>
                <w:color w:val="000000"/>
                <w:highlight w:val="none"/>
                <w:lang w:val="es-ES"/>
              </w:rPr>
              <w:t>Manufacturing employment as a proportion of total employment.</w:t>
            </w:r>
          </w:p>
        </w:tc>
        <w:tc>
          <w:tcPr>
            <w:tcW w:w="4349" w:type="dxa"/>
            <w:vAlign w:val="center"/>
          </w:tcPr>
          <w:p w14:paraId="710BBE94">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contextualSpacing/>
              <w:jc w:val="left"/>
              <w:textAlignment w:val="auto"/>
              <w:rPr>
                <w:rFonts w:hint="default" w:ascii="Arial" w:hAnsi="Arial" w:cs="Arial"/>
                <w:b w:val="0"/>
                <w:bCs w:val="0"/>
                <w:highlight w:val="none"/>
                <w:lang w:val="es-ES"/>
              </w:rPr>
            </w:pPr>
            <w:r>
              <w:rPr>
                <w:rFonts w:hint="default"/>
                <w:color w:val="000000"/>
                <w:highlight w:val="none"/>
                <w:vertAlign w:val="baseline"/>
                <w:lang w:val="es-ES"/>
              </w:rPr>
              <w:t>9.2. Proportion of local people employed in total number of employees (%)</w:t>
            </w:r>
          </w:p>
        </w:tc>
      </w:tr>
      <w:tr w14:paraId="32649750">
        <w:trPr>
          <w:trHeight w:val="716" w:hRule="atLeast"/>
          <w:jc w:val="center"/>
        </w:trPr>
        <w:tc>
          <w:tcPr>
            <w:tcW w:w="4156" w:type="dxa"/>
            <w:vAlign w:val="top"/>
          </w:tcPr>
          <w:p w14:paraId="4DEE2D18">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firstLine="0" w:firstLineChars="0"/>
              <w:contextualSpacing w:val="0"/>
              <w:jc w:val="both"/>
              <w:textAlignment w:val="auto"/>
              <w:rPr>
                <w:rFonts w:hint="default" w:ascii="Arial" w:hAnsi="Arial" w:cs="Arial"/>
                <w:b w:val="0"/>
                <w:bCs w:val="0"/>
                <w:highlight w:val="none"/>
                <w:lang w:val="en-US"/>
              </w:rPr>
            </w:pPr>
            <w:r>
              <w:rPr>
                <w:rFonts w:hint="default" w:cs="Arial"/>
                <w:b w:val="0"/>
                <w:bCs w:val="0"/>
                <w:highlight w:val="none"/>
                <w:lang w:val="es-ES"/>
              </w:rPr>
              <w:t xml:space="preserve">SDG </w:t>
            </w:r>
            <w:r>
              <w:rPr>
                <w:rFonts w:hint="default" w:ascii="Arial" w:hAnsi="Arial" w:cs="Arial"/>
                <w:b w:val="0"/>
                <w:bCs w:val="0"/>
                <w:highlight w:val="none"/>
                <w:lang w:val="en-US"/>
              </w:rPr>
              <w:t>11</w:t>
            </w:r>
            <w:r>
              <w:rPr>
                <w:rFonts w:hint="default" w:cs="Arial"/>
                <w:b w:val="0"/>
                <w:bCs w:val="0"/>
                <w:highlight w:val="none"/>
                <w:lang w:val="es-ES"/>
              </w:rPr>
              <w:t>, indicator 11.6.</w:t>
            </w:r>
            <w:r>
              <w:rPr>
                <w:rFonts w:hint="default" w:ascii="Arial" w:hAnsi="Arial" w:cs="Arial"/>
                <w:b w:val="0"/>
                <w:bCs w:val="0"/>
                <w:highlight w:val="none"/>
                <w:lang w:val="en-US"/>
              </w:rPr>
              <w:t xml:space="preserve"> </w:t>
            </w:r>
            <w:r>
              <w:rPr>
                <w:rFonts w:hint="default" w:cs="Arial"/>
                <w:b w:val="0"/>
                <w:bCs w:val="0"/>
                <w:highlight w:val="none"/>
                <w:lang w:val="es-ES"/>
              </w:rPr>
              <w:t>P</w:t>
            </w:r>
            <w:r>
              <w:rPr>
                <w:rFonts w:hint="default"/>
                <w:color w:val="000000"/>
                <w:highlight w:val="none"/>
                <w:lang w:val="es-ES"/>
              </w:rPr>
              <w:t>roportion of urban solid waste regulary collected and with adequate final discharge out of total urban solid waste generated, by cities.</w:t>
            </w:r>
          </w:p>
        </w:tc>
        <w:tc>
          <w:tcPr>
            <w:tcW w:w="4349" w:type="dxa"/>
            <w:vAlign w:val="center"/>
          </w:tcPr>
          <w:p w14:paraId="1675EAB6">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left"/>
              <w:textAlignment w:val="auto"/>
              <w:rPr>
                <w:rFonts w:hint="default" w:ascii="Arial" w:hAnsi="Arial" w:cs="Arial"/>
                <w:b w:val="0"/>
                <w:bCs w:val="0"/>
                <w:highlight w:val="none"/>
                <w:lang w:val="es-ES"/>
              </w:rPr>
            </w:pPr>
            <w:r>
              <w:rPr>
                <w:rFonts w:hint="default"/>
                <w:color w:val="000000"/>
                <w:highlight w:val="none"/>
                <w:vertAlign w:val="baseline"/>
                <w:lang w:val="es-ES"/>
              </w:rPr>
              <w:t>11.6 Quantity of the organic waste collected by the project activity (tons)</w:t>
            </w:r>
          </w:p>
        </w:tc>
      </w:tr>
      <w:tr w14:paraId="6979500E">
        <w:trPr>
          <w:trHeight w:val="15" w:hRule="atLeast"/>
          <w:jc w:val="center"/>
        </w:trPr>
        <w:tc>
          <w:tcPr>
            <w:tcW w:w="4156" w:type="dxa"/>
            <w:vAlign w:val="top"/>
          </w:tcPr>
          <w:p w14:paraId="0045CF44">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firstLine="0" w:firstLineChars="0"/>
              <w:contextualSpacing w:val="0"/>
              <w:jc w:val="both"/>
              <w:textAlignment w:val="auto"/>
              <w:rPr>
                <w:rFonts w:hint="default" w:ascii="Arial" w:hAnsi="Arial" w:cs="Arial"/>
                <w:b w:val="0"/>
                <w:bCs w:val="0"/>
                <w:highlight w:val="none"/>
                <w:lang w:val="en-GB"/>
              </w:rPr>
            </w:pPr>
            <w:r>
              <w:rPr>
                <w:rFonts w:hint="default" w:cs="Arial"/>
                <w:b w:val="0"/>
                <w:bCs w:val="0"/>
                <w:highlight w:val="none"/>
                <w:lang w:val="es-ES"/>
              </w:rPr>
              <w:t xml:space="preserve">SDG </w:t>
            </w:r>
            <w:r>
              <w:rPr>
                <w:rFonts w:hint="default" w:ascii="Arial" w:hAnsi="Arial" w:cs="Arial"/>
                <w:b w:val="0"/>
                <w:bCs w:val="0"/>
                <w:highlight w:val="none"/>
                <w:lang w:val="en-US"/>
              </w:rPr>
              <w:t>12</w:t>
            </w:r>
            <w:r>
              <w:rPr>
                <w:rFonts w:hint="default" w:cs="Arial"/>
                <w:b w:val="0"/>
                <w:bCs w:val="0"/>
                <w:highlight w:val="none"/>
                <w:lang w:val="es-ES"/>
              </w:rPr>
              <w:t>, indicator 12.5.1. National recycling rate, tons of material recycled.</w:t>
            </w:r>
            <w:r>
              <w:rPr>
                <w:rFonts w:hint="default" w:ascii="Arial" w:hAnsi="Arial" w:cs="Arial"/>
                <w:b w:val="0"/>
                <w:bCs w:val="0"/>
                <w:highlight w:val="none"/>
                <w:lang w:val="en-US"/>
              </w:rPr>
              <w:t xml:space="preserve"> </w:t>
            </w:r>
          </w:p>
        </w:tc>
        <w:tc>
          <w:tcPr>
            <w:tcW w:w="4349" w:type="dxa"/>
            <w:vAlign w:val="center"/>
          </w:tcPr>
          <w:p w14:paraId="23E6BEB7">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left"/>
              <w:textAlignment w:val="auto"/>
              <w:rPr>
                <w:rFonts w:hint="default" w:ascii="Arial" w:hAnsi="Arial" w:cs="Arial"/>
                <w:b w:val="0"/>
                <w:bCs w:val="0"/>
                <w:highlight w:val="none"/>
                <w:lang w:val="es-ES"/>
              </w:rPr>
            </w:pPr>
            <w:r>
              <w:rPr>
                <w:rFonts w:hint="default"/>
                <w:color w:val="000000"/>
                <w:highlight w:val="none"/>
                <w:vertAlign w:val="baseline"/>
                <w:lang w:val="es-ES"/>
              </w:rPr>
              <w:t>12.5 Quantity of materials recycled in the biocomposting process (tons)</w:t>
            </w:r>
          </w:p>
        </w:tc>
      </w:tr>
      <w:tr w14:paraId="29C96757">
        <w:trPr>
          <w:trHeight w:val="15" w:hRule="atLeast"/>
          <w:jc w:val="center"/>
        </w:trPr>
        <w:tc>
          <w:tcPr>
            <w:tcW w:w="4156" w:type="dxa"/>
            <w:vAlign w:val="top"/>
          </w:tcPr>
          <w:p w14:paraId="68F8A068">
            <w:pPr>
              <w:pStyle w:val="3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firstLine="0" w:firstLineChars="0"/>
              <w:contextualSpacing w:val="0"/>
              <w:jc w:val="both"/>
              <w:textAlignment w:val="auto"/>
              <w:rPr>
                <w:rFonts w:hint="default" w:ascii="Arial" w:hAnsi="Arial" w:cs="Arial"/>
                <w:b w:val="0"/>
                <w:bCs w:val="0"/>
                <w:highlight w:val="none"/>
                <w:lang w:val="en-US"/>
              </w:rPr>
            </w:pPr>
            <w:r>
              <w:rPr>
                <w:rFonts w:hint="default" w:cs="Arial"/>
                <w:b w:val="0"/>
                <w:bCs w:val="0"/>
                <w:highlight w:val="none"/>
                <w:lang w:val="es-ES"/>
              </w:rPr>
              <w:t xml:space="preserve">SDG </w:t>
            </w:r>
            <w:r>
              <w:rPr>
                <w:rFonts w:hint="default" w:ascii="Arial" w:hAnsi="Arial" w:cs="Arial"/>
                <w:b w:val="0"/>
                <w:bCs w:val="0"/>
                <w:highlight w:val="none"/>
                <w:lang w:val="en-US"/>
              </w:rPr>
              <w:t>13</w:t>
            </w:r>
            <w:r>
              <w:rPr>
                <w:rFonts w:hint="default" w:cs="Arial"/>
                <w:b w:val="0"/>
                <w:bCs w:val="0"/>
                <w:highlight w:val="none"/>
                <w:lang w:val="es-ES"/>
              </w:rPr>
              <w:t>, indicator 13.2</w:t>
            </w:r>
            <w:r>
              <w:rPr>
                <w:rFonts w:hint="default" w:ascii="Arial" w:hAnsi="Arial" w:cs="Arial"/>
                <w:b w:val="0"/>
                <w:bCs w:val="0"/>
                <w:highlight w:val="none"/>
                <w:lang w:val="en-US"/>
              </w:rPr>
              <w:t xml:space="preserve"> Take urgent action to combat climate change and its impacts.</w:t>
            </w:r>
          </w:p>
        </w:tc>
        <w:tc>
          <w:tcPr>
            <w:tcW w:w="4349" w:type="dxa"/>
            <w:vAlign w:val="center"/>
          </w:tcPr>
          <w:p w14:paraId="64431FAD">
            <w:pPr>
              <w:pStyle w:val="35"/>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contextualSpacing/>
              <w:jc w:val="left"/>
              <w:textAlignment w:val="auto"/>
              <w:rPr>
                <w:rFonts w:hint="default" w:ascii="Arial" w:hAnsi="Arial" w:cs="Arial"/>
                <w:b w:val="0"/>
                <w:bCs w:val="0"/>
                <w:highlight w:val="none"/>
                <w:lang w:val="es-ES"/>
              </w:rPr>
            </w:pPr>
            <w:r>
              <w:rPr>
                <w:rFonts w:hint="default"/>
                <w:color w:val="000000"/>
                <w:highlight w:val="none"/>
                <w:vertAlign w:val="baseline"/>
                <w:lang w:val="es-ES"/>
              </w:rPr>
              <w:t xml:space="preserve">13.2 </w:t>
            </w:r>
            <w:r>
              <w:rPr>
                <w:rFonts w:hint="default"/>
                <w:color w:val="000000"/>
                <w:highlight w:val="none"/>
                <w:vertAlign w:val="baseline"/>
                <w:lang w:val="en-US"/>
              </w:rPr>
              <w:t>Emissions Reductions of the Project activity</w:t>
            </w:r>
            <w:r>
              <w:rPr>
                <w:rFonts w:hint="default"/>
                <w:color w:val="000000"/>
                <w:highlight w:val="none"/>
                <w:vertAlign w:val="baseline"/>
                <w:lang w:val="es-ES"/>
              </w:rPr>
              <w:t xml:space="preserve"> (t CO</w:t>
            </w:r>
            <w:r>
              <w:rPr>
                <w:rFonts w:hint="default"/>
                <w:color w:val="000000"/>
                <w:highlight w:val="none"/>
                <w:vertAlign w:val="subscript"/>
                <w:lang w:val="es-ES"/>
              </w:rPr>
              <w:t>2</w:t>
            </w:r>
            <w:r>
              <w:rPr>
                <w:rFonts w:hint="default"/>
                <w:color w:val="000000"/>
                <w:highlight w:val="none"/>
                <w:vertAlign w:val="baseline"/>
                <w:lang w:val="es-ES"/>
              </w:rPr>
              <w:t>e)</w:t>
            </w:r>
          </w:p>
        </w:tc>
      </w:tr>
    </w:tbl>
    <w:p w14:paraId="74A703B9">
      <w:pPr>
        <w:pStyle w:val="35"/>
        <w:numPr>
          <w:ilvl w:val="0"/>
          <w:numId w:val="13"/>
        </w:numPr>
        <w:snapToGrid w:val="0"/>
        <w:ind w:left="425" w:leftChars="0" w:hanging="425" w:firstLineChars="0"/>
        <w:contextualSpacing w:val="0"/>
        <w:rPr>
          <w:rFonts w:hint="default" w:ascii="Arial Bold" w:hAnsi="Arial Bold" w:cs="Arial Bold"/>
          <w:b/>
          <w:bCs/>
          <w:highlight w:val="none"/>
          <w:lang w:val="en-US"/>
        </w:rPr>
      </w:pPr>
      <w:r>
        <w:rPr>
          <w:rFonts w:hint="default" w:ascii="Arial Bold" w:hAnsi="Arial Bold" w:cs="Arial Bold"/>
          <w:b/>
          <w:bCs/>
          <w:highlight w:val="none"/>
          <w:lang w:val="es-ES"/>
        </w:rPr>
        <w:t>P</w:t>
      </w:r>
      <w:r>
        <w:rPr>
          <w:rFonts w:hint="default" w:ascii="Arial Bold" w:hAnsi="Arial Bold" w:cs="Arial Bold"/>
          <w:b/>
          <w:bCs/>
          <w:highlight w:val="none"/>
          <w:lang w:val="en-US"/>
        </w:rPr>
        <w:t>rocedures related to co-benefits and special category monitoring, where applicable</w:t>
      </w:r>
    </w:p>
    <w:p w14:paraId="59B65053">
      <w:pPr>
        <w:pStyle w:val="35"/>
        <w:numPr>
          <w:ilvl w:val="0"/>
          <w:numId w:val="0"/>
        </w:numPr>
        <w:snapToGrid w:val="0"/>
        <w:spacing w:before="120" w:after="240" w:line="276" w:lineRule="auto"/>
        <w:contextualSpacing w:val="0"/>
        <w:jc w:val="both"/>
        <w:rPr>
          <w:rFonts w:hint="default" w:ascii="Arial" w:hAnsi="Arial"/>
          <w:b w:val="0"/>
          <w:bCs w:val="0"/>
          <w:highlight w:val="none"/>
          <w:lang w:val="en-US"/>
        </w:rPr>
      </w:pPr>
      <w:r>
        <w:rPr>
          <w:rFonts w:hint="default" w:ascii="Arial" w:hAnsi="Arial"/>
          <w:b w:val="0"/>
          <w:bCs w:val="0"/>
          <w:highlight w:val="none"/>
          <w:lang w:val="en-US"/>
        </w:rPr>
        <w:t>Not applicable because this project has no special category.</w:t>
      </w:r>
    </w:p>
    <w:p w14:paraId="1D3CD01E">
      <w:pPr>
        <w:pStyle w:val="35"/>
        <w:numPr>
          <w:ilvl w:val="0"/>
          <w:numId w:val="13"/>
        </w:numPr>
        <w:snapToGrid w:val="0"/>
        <w:ind w:left="425" w:leftChars="0" w:hanging="425" w:firstLineChars="0"/>
        <w:contextualSpacing w:val="0"/>
        <w:rPr>
          <w:rFonts w:hint="default" w:ascii="Arial Bold" w:hAnsi="Arial Bold" w:cs="Arial Bold"/>
          <w:b/>
          <w:bCs/>
          <w:highlight w:val="none"/>
          <w:lang w:val="en-US"/>
        </w:rPr>
      </w:pPr>
      <w:r>
        <w:rPr>
          <w:rFonts w:hint="default" w:ascii="Arial Bold" w:hAnsi="Arial Bold" w:cs="Arial Bold"/>
          <w:b/>
          <w:bCs/>
          <w:highlight w:val="none"/>
          <w:lang w:val="es-ES"/>
        </w:rPr>
        <w:t>T</w:t>
      </w:r>
      <w:r>
        <w:rPr>
          <w:rFonts w:hint="default" w:ascii="Arial Bold" w:hAnsi="Arial Bold" w:cs="Arial Bold"/>
          <w:b/>
          <w:bCs/>
          <w:highlight w:val="none"/>
          <w:lang w:val="en-US"/>
        </w:rPr>
        <w:t>he criteria and indicators established to demonstrate the additional co-benefits and the measurement of co-benefits and the special category, when applicable.</w:t>
      </w:r>
    </w:p>
    <w:p w14:paraId="0398FE0F">
      <w:pPr>
        <w:rPr>
          <w:i/>
          <w:iCs/>
          <w:highlight w:val="none"/>
        </w:rPr>
      </w:pPr>
      <w:r>
        <w:rPr>
          <w:rFonts w:hint="default"/>
          <w:highlight w:val="none"/>
          <w:lang w:val="en-US"/>
        </w:rPr>
        <w:t>Not applicable because this project has no special category.</w:t>
      </w:r>
    </w:p>
    <w:p w14:paraId="0C5D08B6">
      <w:pPr>
        <w:jc w:val="center"/>
        <w:rPr>
          <w:i/>
          <w:iCs/>
          <w:highlight w:val="none"/>
        </w:rPr>
      </w:pPr>
    </w:p>
    <w:p w14:paraId="0BAE1D36">
      <w:pPr>
        <w:pStyle w:val="3"/>
        <w:rPr>
          <w:highlight w:val="none"/>
        </w:rPr>
      </w:pPr>
      <w:bookmarkStart w:id="124" w:name="_Toc1608164695"/>
      <w:r>
        <w:rPr>
          <w:highlight w:val="none"/>
        </w:rPr>
        <w:t>Data and parameters to quantify the reduction of emissions</w:t>
      </w:r>
      <w:bookmarkEnd w:id="124"/>
    </w:p>
    <w:p w14:paraId="26B4FAEE">
      <w:pPr>
        <w:rPr>
          <w:highlight w:val="none"/>
        </w:rPr>
      </w:pPr>
      <w:r>
        <w:rPr>
          <w:highlight w:val="none"/>
        </w:rPr>
        <w:t xml:space="preserve">The monitoring plan is designed to ensure that both the project process and all the data required to calculate the GHG mitigation are constantly updated and allow the project to be more efficient, detect possible problems or threats and implement contingency and improvement plans when required. </w:t>
      </w:r>
    </w:p>
    <w:p w14:paraId="3398F392">
      <w:pPr>
        <w:rPr>
          <w:highlight w:val="none"/>
        </w:rPr>
      </w:pPr>
    </w:p>
    <w:p w14:paraId="0501B222">
      <w:pPr>
        <w:pStyle w:val="4"/>
        <w:rPr>
          <w:highlight w:val="none"/>
        </w:rPr>
      </w:pPr>
      <w:bookmarkStart w:id="125" w:name="_Toc194847723"/>
      <w:r>
        <w:rPr>
          <w:highlight w:val="none"/>
        </w:rPr>
        <w:t>Data and parameters determined at registration and not monitored during the monitoring period, including default values and factors</w:t>
      </w:r>
      <w:bookmarkEnd w:id="125"/>
      <w:r>
        <w:rPr>
          <w:highlight w:val="none"/>
        </w:rPr>
        <w:t xml:space="preserve"> </w:t>
      </w:r>
    </w:p>
    <w:p w14:paraId="60178755">
      <w:pPr>
        <w:rPr>
          <w:rFonts w:hint="default"/>
          <w:highlight w:val="none"/>
          <w:lang w:val="es-ES"/>
        </w:rPr>
      </w:pPr>
      <w:r>
        <w:rPr>
          <w:rFonts w:hint="default"/>
          <w:highlight w:val="none"/>
          <w:lang w:val="es-ES"/>
        </w:rPr>
        <w:t>To estimate GHG emission reduction during the project quantification period and in order to keep the information updated, the following parameters will be monitored:</w:t>
      </w:r>
    </w:p>
    <w:p w14:paraId="415FB594">
      <w:pPr>
        <w:rPr>
          <w:rFonts w:hint="default"/>
          <w:b w:val="0"/>
          <w:bCs w:val="0"/>
          <w:highlight w:val="none"/>
          <w:lang w:val="es-ES"/>
        </w:rPr>
      </w:pPr>
      <w:r>
        <w:rPr>
          <w:b w:val="0"/>
          <w:bCs w:val="0"/>
          <w:highlight w:val="none"/>
          <w:u w:val="single"/>
          <w:lang w:val="en-US"/>
        </w:rPr>
        <w:t>Data and parameters available at the validation</w:t>
      </w:r>
      <w:r>
        <w:rPr>
          <w:rFonts w:hint="default"/>
          <w:b w:val="0"/>
          <w:bCs w:val="0"/>
          <w:highlight w:val="none"/>
          <w:u w:val="single"/>
          <w:lang w:val="es-ES"/>
        </w:rPr>
        <w:t>:</w:t>
      </w:r>
    </w:p>
    <w:p w14:paraId="68312CBC">
      <w:pPr>
        <w:pStyle w:val="35"/>
        <w:snapToGrid w:val="0"/>
        <w:spacing w:after="0"/>
        <w:ind w:left="0"/>
        <w:contextualSpacing w:val="0"/>
        <w:rPr>
          <w:highlight w:val="none"/>
          <w:lang w:val="en-US"/>
        </w:rPr>
      </w:pPr>
      <w:r>
        <w:rPr>
          <w:highlight w:val="none"/>
          <w:lang w:val="en-US"/>
        </w:rPr>
        <w:t>Data/Parameter 1</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8"/>
        <w:gridCol w:w="6149"/>
      </w:tblGrid>
      <w:tr w14:paraId="4A93E831">
        <w:tc>
          <w:tcPr>
            <w:tcW w:w="2328" w:type="dxa"/>
            <w:shd w:val="clear" w:color="auto" w:fill="F1F1F1" w:themeFill="background1" w:themeFillShade="F2"/>
          </w:tcPr>
          <w:p w14:paraId="62D109E8">
            <w:pPr>
              <w:pStyle w:val="35"/>
              <w:snapToGrid w:val="0"/>
              <w:spacing w:before="0" w:after="0"/>
              <w:ind w:left="0"/>
              <w:contextualSpacing w:val="0"/>
              <w:rPr>
                <w:highlight w:val="none"/>
                <w:lang w:val="en-US"/>
              </w:rPr>
            </w:pPr>
            <w:r>
              <w:rPr>
                <w:highlight w:val="none"/>
                <w:lang w:val="en-US"/>
              </w:rPr>
              <w:t>Data/Parameter</w:t>
            </w:r>
          </w:p>
        </w:tc>
        <w:tc>
          <w:tcPr>
            <w:tcW w:w="6149" w:type="dxa"/>
          </w:tcPr>
          <w:p w14:paraId="21B0A2E2">
            <w:pPr>
              <w:spacing w:before="0" w:after="0"/>
              <w:rPr>
                <w:b/>
                <w:bCs/>
                <w:i/>
                <w:iCs/>
                <w:highlight w:val="none"/>
                <w:lang w:val="en-US"/>
              </w:rPr>
            </w:pPr>
            <w:r>
              <w:rPr>
                <w:b/>
                <w:i/>
                <w:iCs/>
                <w:highlight w:val="none"/>
                <w:lang w:val="en-US"/>
              </w:rPr>
              <w:t>EF</w:t>
            </w:r>
            <w:r>
              <w:rPr>
                <w:b/>
                <w:i/>
                <w:iCs/>
                <w:highlight w:val="none"/>
                <w:vertAlign w:val="subscript"/>
                <w:lang w:val="en-US"/>
              </w:rPr>
              <w:t>EF,j,y</w:t>
            </w:r>
          </w:p>
        </w:tc>
      </w:tr>
      <w:tr w14:paraId="4B5F6053">
        <w:tc>
          <w:tcPr>
            <w:tcW w:w="2328" w:type="dxa"/>
            <w:shd w:val="clear" w:color="auto" w:fill="F1F1F1" w:themeFill="background1" w:themeFillShade="F2"/>
          </w:tcPr>
          <w:p w14:paraId="2E08A601">
            <w:pPr>
              <w:pStyle w:val="35"/>
              <w:snapToGrid w:val="0"/>
              <w:spacing w:before="0" w:after="0"/>
              <w:ind w:left="0"/>
              <w:contextualSpacing w:val="0"/>
              <w:rPr>
                <w:highlight w:val="none"/>
                <w:lang w:val="en-US"/>
              </w:rPr>
            </w:pPr>
            <w:r>
              <w:rPr>
                <w:highlight w:val="none"/>
                <w:lang w:val="en-US"/>
              </w:rPr>
              <w:t>Data unit</w:t>
            </w:r>
          </w:p>
        </w:tc>
        <w:tc>
          <w:tcPr>
            <w:tcW w:w="6149" w:type="dxa"/>
          </w:tcPr>
          <w:p w14:paraId="054C26DD">
            <w:pPr>
              <w:pStyle w:val="35"/>
              <w:snapToGrid w:val="0"/>
              <w:spacing w:before="0" w:after="0"/>
              <w:ind w:left="0"/>
              <w:contextualSpacing w:val="0"/>
              <w:rPr>
                <w:bCs/>
                <w:highlight w:val="none"/>
                <w:lang w:val="en-US"/>
              </w:rPr>
            </w:pPr>
            <w:r>
              <w:rPr>
                <w:bCs/>
                <w:i/>
                <w:iCs/>
                <w:highlight w:val="none"/>
                <w:lang w:val="en-US"/>
              </w:rPr>
              <w:t>t CO</w:t>
            </w:r>
            <w:r>
              <w:rPr>
                <w:bCs/>
                <w:i/>
                <w:iCs/>
                <w:highlight w:val="none"/>
                <w:vertAlign w:val="subscript"/>
                <w:lang w:val="en-US"/>
              </w:rPr>
              <w:t>2</w:t>
            </w:r>
            <w:r>
              <w:rPr>
                <w:bCs/>
                <w:i/>
                <w:iCs/>
                <w:highlight w:val="none"/>
                <w:lang w:val="en-US"/>
              </w:rPr>
              <w:t>/MWh</w:t>
            </w:r>
          </w:p>
        </w:tc>
      </w:tr>
      <w:tr w14:paraId="31F346D8">
        <w:tc>
          <w:tcPr>
            <w:tcW w:w="2328" w:type="dxa"/>
            <w:shd w:val="clear" w:color="auto" w:fill="F1F1F1" w:themeFill="background1" w:themeFillShade="F2"/>
          </w:tcPr>
          <w:p w14:paraId="15531B60">
            <w:pPr>
              <w:pStyle w:val="35"/>
              <w:snapToGrid w:val="0"/>
              <w:spacing w:before="0" w:after="0"/>
              <w:ind w:left="0"/>
              <w:contextualSpacing w:val="0"/>
              <w:rPr>
                <w:highlight w:val="none"/>
                <w:lang w:val="en-US"/>
              </w:rPr>
            </w:pPr>
            <w:r>
              <w:rPr>
                <w:highlight w:val="none"/>
                <w:lang w:val="en-US"/>
              </w:rPr>
              <w:t>Description</w:t>
            </w:r>
          </w:p>
        </w:tc>
        <w:tc>
          <w:tcPr>
            <w:tcW w:w="6149" w:type="dxa"/>
          </w:tcPr>
          <w:p w14:paraId="32C77161">
            <w:pPr>
              <w:snapToGrid w:val="0"/>
              <w:spacing w:before="0" w:after="0"/>
              <w:rPr>
                <w:bCs/>
                <w:highlight w:val="none"/>
                <w:lang w:val="en-US"/>
              </w:rPr>
            </w:pPr>
            <w:r>
              <w:rPr>
                <w:bCs/>
                <w:highlight w:val="none"/>
                <w:lang w:val="en-US"/>
              </w:rPr>
              <w:t>Emission factor for electricity generation for source j in year y</w:t>
            </w:r>
          </w:p>
        </w:tc>
      </w:tr>
      <w:tr w14:paraId="014A71D7">
        <w:tc>
          <w:tcPr>
            <w:tcW w:w="2328" w:type="dxa"/>
            <w:shd w:val="clear" w:color="auto" w:fill="F1F1F1" w:themeFill="background1" w:themeFillShade="F2"/>
          </w:tcPr>
          <w:p w14:paraId="26F9CEDA">
            <w:pPr>
              <w:pStyle w:val="35"/>
              <w:snapToGrid w:val="0"/>
              <w:spacing w:before="0" w:after="0"/>
              <w:ind w:left="0"/>
              <w:contextualSpacing w:val="0"/>
              <w:rPr>
                <w:highlight w:val="none"/>
                <w:lang w:val="en-US"/>
              </w:rPr>
            </w:pPr>
            <w:r>
              <w:rPr>
                <w:highlight w:val="none"/>
                <w:lang w:val="en-US"/>
              </w:rPr>
              <w:t>Source data</w:t>
            </w:r>
          </w:p>
        </w:tc>
        <w:tc>
          <w:tcPr>
            <w:tcW w:w="6149" w:type="dxa"/>
          </w:tcPr>
          <w:p w14:paraId="6FFE9EC3">
            <w:pPr>
              <w:snapToGrid w:val="0"/>
              <w:spacing w:before="0" w:after="0"/>
              <w:rPr>
                <w:highlight w:val="none"/>
                <w:lang w:val="en-US"/>
              </w:rPr>
            </w:pPr>
            <w:r>
              <w:rPr>
                <w:highlight w:val="none"/>
                <w:lang w:val="en-US"/>
              </w:rPr>
              <w:t>Methodological tool 5 “Baseline, project and/or leakage emissions from electricity consumption and monitoring of electricity generation“(version 3).</w:t>
            </w:r>
          </w:p>
        </w:tc>
      </w:tr>
      <w:tr w14:paraId="6466CD36">
        <w:trPr>
          <w:trHeight w:val="3195" w:hRule="atLeast"/>
        </w:trPr>
        <w:tc>
          <w:tcPr>
            <w:tcW w:w="2328" w:type="dxa"/>
            <w:shd w:val="clear" w:color="auto" w:fill="F1F1F1" w:themeFill="background1" w:themeFillShade="F2"/>
          </w:tcPr>
          <w:p w14:paraId="674E541B">
            <w:pPr>
              <w:pStyle w:val="35"/>
              <w:snapToGrid w:val="0"/>
              <w:spacing w:before="0" w:after="0"/>
              <w:ind w:left="0"/>
              <w:contextualSpacing w:val="0"/>
              <w:rPr>
                <w:highlight w:val="none"/>
                <w:lang w:val="en-US"/>
              </w:rPr>
            </w:pPr>
            <w:r>
              <w:rPr>
                <w:highlight w:val="none"/>
                <w:lang w:val="en-US"/>
              </w:rPr>
              <w:t>Value applied</w:t>
            </w:r>
          </w:p>
        </w:tc>
        <w:tc>
          <w:tcPr>
            <w:tcW w:w="6149" w:type="dxa"/>
          </w:tcPr>
          <w:tbl>
            <w:tblPr>
              <w:tblStyle w:val="24"/>
              <w:tblW w:w="6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142"/>
              <w:gridCol w:w="1142"/>
              <w:gridCol w:w="1142"/>
              <w:gridCol w:w="1142"/>
              <w:gridCol w:w="1142"/>
            </w:tblGrid>
            <w:tr w14:paraId="10782947">
              <w:trPr>
                <w:trHeight w:val="90" w:hRule="atLeast"/>
              </w:trPr>
              <w:tc>
                <w:tcPr>
                  <w:tcW w:w="749" w:type="dxa"/>
                  <w:vAlign w:val="center"/>
                </w:tcPr>
                <w:p w14:paraId="2CA82902">
                  <w:pPr>
                    <w:spacing w:before="0" w:after="0"/>
                    <w:jc w:val="center"/>
                    <w:rPr>
                      <w:bCs/>
                      <w:i/>
                      <w:iCs/>
                      <w:highlight w:val="none"/>
                      <w:lang w:val="en-US"/>
                    </w:rPr>
                  </w:pPr>
                  <w:r>
                    <w:rPr>
                      <w:rFonts w:hint="default"/>
                      <w:color w:val="000000" w:themeColor="text1"/>
                      <w:highlight w:val="none"/>
                      <w:lang w:val="es-ES"/>
                      <w14:textFill>
                        <w14:solidFill>
                          <w14:schemeClr w14:val="tx1"/>
                        </w14:solidFill>
                      </w14:textFill>
                    </w:rPr>
                    <w:t>PERIOD / YEAR</w:t>
                  </w:r>
                </w:p>
              </w:tc>
              <w:tc>
                <w:tcPr>
                  <w:tcW w:w="1142" w:type="dxa"/>
                  <w:vAlign w:val="center"/>
                </w:tcPr>
                <w:p w14:paraId="4D07FB14">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1</w:t>
                  </w:r>
                </w:p>
                <w:p w14:paraId="060F5A1C">
                  <w:pPr>
                    <w:spacing w:before="0" w:after="0"/>
                    <w:jc w:val="center"/>
                    <w:rPr>
                      <w:i/>
                      <w:i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/2018-31/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/2019</w:t>
                  </w:r>
                </w:p>
              </w:tc>
              <w:tc>
                <w:tcPr>
                  <w:tcW w:w="1142" w:type="dxa"/>
                  <w:vAlign w:val="center"/>
                </w:tcPr>
                <w:p w14:paraId="500FFD4D">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2</w:t>
                  </w:r>
                </w:p>
                <w:p w14:paraId="38B4DE53">
                  <w:pPr>
                    <w:spacing w:before="0" w:after="0"/>
                    <w:jc w:val="center"/>
                    <w:rPr>
                      <w:bCs/>
                      <w:i/>
                      <w:iCs/>
                      <w:highlight w:val="none"/>
                      <w:lang w:val="en-U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/2019-31/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/2020</w:t>
                  </w:r>
                </w:p>
              </w:tc>
              <w:tc>
                <w:tcPr>
                  <w:tcW w:w="1142" w:type="dxa"/>
                  <w:vAlign w:val="center"/>
                </w:tcPr>
                <w:p w14:paraId="59197B4D">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3</w:t>
                  </w:r>
                </w:p>
                <w:p w14:paraId="2213C855">
                  <w:pPr>
                    <w:spacing w:before="0" w:after="0"/>
                    <w:jc w:val="center"/>
                    <w:rPr>
                      <w:bCs/>
                      <w:i/>
                      <w:iCs/>
                      <w:highlight w:val="none"/>
                      <w:lang w:val="en-U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/2020-31/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/2021</w:t>
                  </w:r>
                </w:p>
              </w:tc>
              <w:tc>
                <w:tcPr>
                  <w:tcW w:w="1142" w:type="dxa"/>
                  <w:vAlign w:val="center"/>
                </w:tcPr>
                <w:p w14:paraId="7B732603">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4</w:t>
                  </w:r>
                </w:p>
                <w:p w14:paraId="670DE02D">
                  <w:pPr>
                    <w:spacing w:before="0" w:after="0"/>
                    <w:jc w:val="center"/>
                    <w:rPr>
                      <w:bCs/>
                      <w:i/>
                      <w:i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/2021-31/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/2022</w:t>
                  </w:r>
                </w:p>
              </w:tc>
              <w:tc>
                <w:tcPr>
                  <w:tcW w:w="1142" w:type="dxa"/>
                  <w:vAlign w:val="center"/>
                </w:tcPr>
                <w:p w14:paraId="16650410">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5</w:t>
                  </w:r>
                </w:p>
                <w:p w14:paraId="447C493D">
                  <w:pPr>
                    <w:spacing w:before="0" w:after="0"/>
                    <w:jc w:val="center"/>
                    <w:rPr>
                      <w:bCs/>
                      <w:i/>
                      <w:i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/2022-31/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/2023</w:t>
                  </w:r>
                </w:p>
              </w:tc>
            </w:tr>
            <w:tr w14:paraId="6229CEE0">
              <w:tc>
                <w:tcPr>
                  <w:tcW w:w="749" w:type="dxa"/>
                  <w:vAlign w:val="center"/>
                </w:tcPr>
                <w:p w14:paraId="09DDBE24">
                  <w:pPr>
                    <w:spacing w:before="0" w:after="0"/>
                    <w:jc w:val="center"/>
                    <w:rPr>
                      <w:bCs/>
                      <w:i/>
                      <w:iCs/>
                      <w:highlight w:val="none"/>
                      <w:lang w:val="en-US"/>
                    </w:rPr>
                  </w:pPr>
                  <w:r>
                    <w:rPr>
                      <w:bCs/>
                      <w:color w:val="000000" w:themeColor="text1"/>
                      <w:highlight w:val="none"/>
                      <w:lang w:val="en-US"/>
                      <w14:textFill>
                        <w14:solidFill>
                          <w14:schemeClr w14:val="tx1"/>
                        </w14:solidFill>
                      </w14:textFill>
                    </w:rPr>
                    <w:t>EF</w:t>
                  </w:r>
                  <w:r>
                    <w:rPr>
                      <w:bCs/>
                      <w:color w:val="000000" w:themeColor="text1"/>
                      <w:highlight w:val="none"/>
                      <w:vertAlign w:val="subscript"/>
                      <w:lang w:val="en-US"/>
                      <w14:textFill>
                        <w14:solidFill>
                          <w14:schemeClr w14:val="tx1"/>
                        </w14:solidFill>
                      </w14:textFill>
                    </w:rPr>
                    <w:t>,EF,j,y</w:t>
                  </w:r>
                  <w:r>
                    <w:rPr>
                      <w:bCs/>
                      <w:color w:val="000000" w:themeColor="text1"/>
                      <w:highlight w:val="none"/>
                      <w:lang w:val="en-US"/>
                      <w14:textFill>
                        <w14:solidFill>
                          <w14:schemeClr w14:val="tx1"/>
                        </w14:solidFill>
                      </w14:textFill>
                    </w:rPr>
                    <w:t xml:space="preserve"> (t</w:t>
                  </w:r>
                  <w:r>
                    <w:rPr>
                      <w:rFonts w:hint="default"/>
                      <w:bCs/>
                      <w:color w:val="000000" w:themeColor="text1"/>
                      <w:highlight w:val="none"/>
                      <w:lang w:val="es-ES"/>
                      <w14:textFill>
                        <w14:solidFill>
                          <w14:schemeClr w14:val="tx1"/>
                        </w14:solidFill>
                      </w14:textFill>
                    </w:rPr>
                    <w:t xml:space="preserve"> CO</w:t>
                  </w:r>
                  <w:r>
                    <w:rPr>
                      <w:rFonts w:hint="default"/>
                      <w:bCs/>
                      <w:color w:val="000000" w:themeColor="text1"/>
                      <w:highlight w:val="none"/>
                      <w:vertAlign w:val="subscript"/>
                      <w:lang w:val="es-ES"/>
                      <w14:textFill>
                        <w14:solidFill>
                          <w14:schemeClr w14:val="tx1"/>
                        </w14:solidFill>
                      </w14:textFill>
                    </w:rPr>
                    <w:t>2</w:t>
                  </w:r>
                  <w:r>
                    <w:rPr>
                      <w:rFonts w:hint="default"/>
                      <w:bCs/>
                      <w:color w:val="000000" w:themeColor="text1"/>
                      <w:highlight w:val="none"/>
                      <w:lang w:val="es-ES"/>
                      <w14:textFill>
                        <w14:solidFill>
                          <w14:schemeClr w14:val="tx1"/>
                        </w14:solidFill>
                      </w14:textFill>
                    </w:rPr>
                    <w:t>/MWh</w:t>
                  </w:r>
                  <w:r>
                    <w:rPr>
                      <w:bCs/>
                      <w:color w:val="000000" w:themeColor="text1"/>
                      <w:highlight w:val="none"/>
                      <w:lang w:val="en-US"/>
                      <w14:textFill>
                        <w14:solidFill>
                          <w14:schemeClr w14:val="tx1"/>
                        </w14:solidFill>
                      </w14:textFill>
                    </w:rPr>
                    <w:t>)</w:t>
                  </w:r>
                </w:p>
              </w:tc>
              <w:tc>
                <w:tcPr>
                  <w:tcW w:w="1142" w:type="dxa"/>
                  <w:vAlign w:val="center"/>
                </w:tcPr>
                <w:p w14:paraId="663CD575">
                  <w:pPr>
                    <w:spacing w:before="0" w:after="0"/>
                    <w:jc w:val="center"/>
                    <w:rPr>
                      <w:bCs/>
                      <w:i/>
                      <w:iCs/>
                      <w:highlight w:val="none"/>
                      <w:lang w:val="en-US"/>
                    </w:rPr>
                  </w:pPr>
                  <w:r>
                    <w:rPr>
                      <w:rFonts w:hint="default"/>
                      <w:color w:val="000000" w:themeColor="text1"/>
                      <w:highlight w:val="none"/>
                      <w:lang w:val="es-ES"/>
                      <w14:textFill>
                        <w14:solidFill>
                          <w14:schemeClr w14:val="tx1"/>
                        </w14:solidFill>
                      </w14:textFill>
                    </w:rPr>
                    <w:t>0,2815</w:t>
                  </w:r>
                </w:p>
              </w:tc>
              <w:tc>
                <w:tcPr>
                  <w:tcW w:w="1142" w:type="dxa"/>
                  <w:vAlign w:val="center"/>
                </w:tcPr>
                <w:p w14:paraId="45559D31">
                  <w:pPr>
                    <w:spacing w:before="0" w:after="0"/>
                    <w:jc w:val="center"/>
                    <w:rPr>
                      <w:bCs/>
                      <w:i/>
                      <w:iCs/>
                      <w:highlight w:val="none"/>
                      <w:lang w:val="en-US"/>
                    </w:rPr>
                  </w:pPr>
                  <w:r>
                    <w:rPr>
                      <w:rFonts w:hint="default"/>
                      <w:color w:val="000000" w:themeColor="text1"/>
                      <w:highlight w:val="none"/>
                      <w:lang w:val="es-ES"/>
                      <w14:textFill>
                        <w14:solidFill>
                          <w14:schemeClr w14:val="tx1"/>
                        </w14:solidFill>
                      </w14:textFill>
                    </w:rPr>
                    <w:t>0,271</w:t>
                  </w:r>
                </w:p>
              </w:tc>
              <w:tc>
                <w:tcPr>
                  <w:tcW w:w="1142" w:type="dxa"/>
                  <w:vAlign w:val="center"/>
                </w:tcPr>
                <w:p w14:paraId="6EC23704">
                  <w:pPr>
                    <w:spacing w:before="0" w:after="0"/>
                    <w:jc w:val="center"/>
                    <w:rPr>
                      <w:bCs/>
                      <w:i/>
                      <w:iCs/>
                      <w:highlight w:val="none"/>
                      <w:lang w:val="en-US"/>
                    </w:rPr>
                  </w:pPr>
                  <w:r>
                    <w:rPr>
                      <w:rFonts w:hint="default"/>
                      <w:color w:val="000000" w:themeColor="text1"/>
                      <w:highlight w:val="none"/>
                      <w:lang w:val="es-ES"/>
                      <w14:textFill>
                        <w14:solidFill>
                          <w14:schemeClr w14:val="tx1"/>
                        </w14:solidFill>
                      </w14:textFill>
                    </w:rPr>
                    <w:t>0,2835</w:t>
                  </w:r>
                </w:p>
              </w:tc>
              <w:tc>
                <w:tcPr>
                  <w:tcW w:w="1142" w:type="dxa"/>
                  <w:vAlign w:val="center"/>
                </w:tcPr>
                <w:p w14:paraId="68C2D66F">
                  <w:pPr>
                    <w:spacing w:before="0" w:after="0"/>
                    <w:jc w:val="center"/>
                    <w:rPr>
                      <w:bCs/>
                      <w:i/>
                      <w:iCs/>
                      <w:highlight w:val="none"/>
                      <w:lang w:val="en-US"/>
                    </w:rPr>
                  </w:pPr>
                  <w:r>
                    <w:rPr>
                      <w:rFonts w:hint="default"/>
                      <w:color w:val="000000" w:themeColor="text1"/>
                      <w:highlight w:val="none"/>
                      <w:lang w:val="es-ES" w:eastAsia="zh-CN"/>
                      <w14:textFill>
                        <w14:solidFill>
                          <w14:schemeClr w14:val="tx1"/>
                        </w14:solidFill>
                      </w14:textFill>
                    </w:rPr>
                    <w:t>0,28185</w:t>
                  </w:r>
                </w:p>
              </w:tc>
              <w:tc>
                <w:tcPr>
                  <w:tcW w:w="1142" w:type="dxa"/>
                  <w:vAlign w:val="center"/>
                </w:tcPr>
                <w:p w14:paraId="665E9A3F">
                  <w:pPr>
                    <w:spacing w:before="0" w:after="0"/>
                    <w:jc w:val="center"/>
                    <w:rPr>
                      <w:bCs/>
                      <w:i/>
                      <w:iCs/>
                      <w:highlight w:val="none"/>
                      <w:lang w:val="en-US"/>
                    </w:rPr>
                  </w:pPr>
                  <w:r>
                    <w:rPr>
                      <w:rFonts w:hint="default"/>
                      <w:color w:val="000000" w:themeColor="text1"/>
                      <w:highlight w:val="none"/>
                      <w:lang w:val="es-ES" w:eastAsia="zh-CN"/>
                      <w14:textFill>
                        <w14:solidFill>
                          <w14:schemeClr w14:val="tx1"/>
                        </w14:solidFill>
                      </w14:textFill>
                    </w:rPr>
                    <w:t>0,25135</w:t>
                  </w:r>
                </w:p>
              </w:tc>
            </w:tr>
          </w:tbl>
          <w:p w14:paraId="63C0A200">
            <w:pPr>
              <w:spacing w:after="160" w:line="259" w:lineRule="auto"/>
              <w:rPr>
                <w:highlight w:val="none"/>
                <w:lang w:val="en-US"/>
              </w:rPr>
            </w:pPr>
          </w:p>
        </w:tc>
      </w:tr>
      <w:tr w14:paraId="28A7C90F">
        <w:tc>
          <w:tcPr>
            <w:tcW w:w="2328" w:type="dxa"/>
            <w:shd w:val="clear" w:color="auto" w:fill="F1F1F1" w:themeFill="background1" w:themeFillShade="F2"/>
          </w:tcPr>
          <w:p w14:paraId="54814FB9">
            <w:pPr>
              <w:pStyle w:val="35"/>
              <w:snapToGrid w:val="0"/>
              <w:spacing w:before="0" w:after="0"/>
              <w:ind w:left="0"/>
              <w:contextualSpacing w:val="0"/>
              <w:rPr>
                <w:highlight w:val="none"/>
                <w:lang w:val="en-US"/>
              </w:rPr>
            </w:pPr>
            <w:r>
              <w:rPr>
                <w:highlight w:val="none"/>
                <w:lang w:val="en-US"/>
              </w:rPr>
              <w:t>Justification of choice of data or description of measurement methods and procedures applied</w:t>
            </w:r>
          </w:p>
        </w:tc>
        <w:tc>
          <w:tcPr>
            <w:tcW w:w="6149" w:type="dxa"/>
          </w:tcPr>
          <w:p w14:paraId="69908480">
            <w:pPr>
              <w:spacing w:after="0"/>
              <w:rPr>
                <w:rFonts w:hint="default" w:eastAsia="Arial"/>
                <w:highlight w:val="none"/>
                <w:lang w:val="es-ES"/>
              </w:rPr>
            </w:pPr>
            <w:r>
              <w:rPr>
                <w:rFonts w:eastAsia="Arial"/>
                <w:highlight w:val="none"/>
                <w:lang w:val="en-US"/>
              </w:rPr>
              <w:t xml:space="preserve">Based on the information from the Argentine Government: </w:t>
            </w:r>
            <w:r>
              <w:rPr>
                <w:b w:val="0"/>
                <w:bCs w:val="0"/>
                <w:highlight w:val="none"/>
              </w:rPr>
              <w:fldChar w:fldCharType="begin"/>
            </w:r>
            <w:r>
              <w:rPr>
                <w:b w:val="0"/>
                <w:bCs w:val="0"/>
                <w:highlight w:val="none"/>
              </w:rPr>
              <w:instrText xml:space="preserve"> HYPERLINK "https://www.argentina.gob.ar/economia/energia/energia-electrica/estadisticas" </w:instrText>
            </w:r>
            <w:r>
              <w:rPr>
                <w:b w:val="0"/>
                <w:bCs w:val="0"/>
                <w:highlight w:val="none"/>
              </w:rPr>
              <w:fldChar w:fldCharType="separate"/>
            </w:r>
            <w:r>
              <w:rPr>
                <w:rStyle w:val="20"/>
                <w:b w:val="0"/>
                <w:bCs w:val="0"/>
                <w:highlight w:val="none"/>
                <w:lang w:val="en-US"/>
              </w:rPr>
              <w:t>https://www.argentina.gob.ar/economia/energia/energia-electrica/estadisticas</w:t>
            </w:r>
            <w:r>
              <w:rPr>
                <w:rStyle w:val="20"/>
                <w:b w:val="0"/>
                <w:bCs w:val="0"/>
                <w:highlight w:val="none"/>
                <w:lang w:val="en-US"/>
              </w:rPr>
              <w:fldChar w:fldCharType="end"/>
            </w:r>
            <w:r>
              <w:rPr>
                <w:rFonts w:eastAsia="Arial"/>
                <w:b w:val="0"/>
                <w:bCs w:val="0"/>
                <w:highlight w:val="none"/>
                <w:lang w:val="en-US"/>
              </w:rPr>
              <w:t xml:space="preserve"> ;</w:t>
            </w:r>
            <w:r>
              <w:rPr>
                <w:b w:val="0"/>
                <w:bCs w:val="0"/>
                <w:highlight w:val="none"/>
              </w:rPr>
              <w:fldChar w:fldCharType="begin"/>
            </w:r>
            <w:r>
              <w:rPr>
                <w:b w:val="0"/>
                <w:bCs w:val="0"/>
                <w:highlight w:val="none"/>
              </w:rPr>
              <w:instrText xml:space="preserve"> HYPERLINK "https://cammesaweb.cammesa.com/download/factor-de-emision/" </w:instrText>
            </w:r>
            <w:r>
              <w:rPr>
                <w:b w:val="0"/>
                <w:bCs w:val="0"/>
                <w:highlight w:val="none"/>
              </w:rPr>
              <w:fldChar w:fldCharType="separate"/>
            </w:r>
            <w:r>
              <w:rPr>
                <w:rStyle w:val="20"/>
                <w:b w:val="0"/>
                <w:bCs w:val="0"/>
                <w:highlight w:val="none"/>
                <w:lang w:val="en-US"/>
              </w:rPr>
              <w:t>https://cammesaweb.cammesa.com/download/factor-de-emision/</w:t>
            </w:r>
            <w:r>
              <w:rPr>
                <w:rStyle w:val="20"/>
                <w:b w:val="0"/>
                <w:bCs w:val="0"/>
                <w:highlight w:val="none"/>
                <w:lang w:val="en-US"/>
              </w:rPr>
              <w:fldChar w:fldCharType="end"/>
            </w:r>
            <w:r>
              <w:rPr>
                <w:rStyle w:val="20"/>
                <w:b w:val="0"/>
                <w:bCs w:val="0"/>
                <w:highlight w:val="none"/>
                <w:lang w:val="en-US"/>
              </w:rPr>
              <w:t>.</w:t>
            </w:r>
            <w:r>
              <w:rPr>
                <w:rStyle w:val="20"/>
                <w:rFonts w:hint="default"/>
                <w:b w:val="0"/>
                <w:bCs w:val="0"/>
                <w:highlight w:val="none"/>
                <w:lang w:val="es-ES"/>
              </w:rPr>
              <w:t xml:space="preserve">, </w:t>
            </w:r>
            <w:r>
              <w:rPr>
                <w:rFonts w:hint="default" w:eastAsia="Arial"/>
                <w:highlight w:val="none"/>
                <w:lang w:val="es-ES"/>
              </w:rPr>
              <w:t>the emission factor is an average of each years for the period.</w:t>
            </w:r>
          </w:p>
          <w:tbl>
            <w:tblPr>
              <w:tblStyle w:val="24"/>
              <w:tblW w:w="5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810"/>
              <w:gridCol w:w="723"/>
              <w:gridCol w:w="780"/>
              <w:gridCol w:w="822"/>
              <w:gridCol w:w="861"/>
              <w:gridCol w:w="789"/>
            </w:tblGrid>
            <w:tr w14:paraId="7D3654C1">
              <w:tc>
                <w:tcPr>
                  <w:tcW w:w="900" w:type="dxa"/>
                </w:tcPr>
                <w:p w14:paraId="6F0D5881">
                  <w:pPr>
                    <w:spacing w:before="0" w:after="0"/>
                    <w:rPr>
                      <w:bCs/>
                      <w:color w:val="000000" w:themeColor="text1"/>
                      <w:highlight w:val="none"/>
                      <w:lang w:val="en-US"/>
                      <w14:textFill>
                        <w14:solidFill>
                          <w14:schemeClr w14:val="tx1"/>
                        </w14:solidFill>
                      </w14:textFill>
                    </w:rPr>
                  </w:pPr>
                </w:p>
              </w:tc>
              <w:tc>
                <w:tcPr>
                  <w:tcW w:w="810" w:type="dxa"/>
                </w:tcPr>
                <w:p w14:paraId="4A5DF103">
                  <w:pPr>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2018</w:t>
                  </w:r>
                </w:p>
              </w:tc>
              <w:tc>
                <w:tcPr>
                  <w:tcW w:w="723" w:type="dxa"/>
                  <w:vAlign w:val="bottom"/>
                </w:tcPr>
                <w:p w14:paraId="3ECB1704">
                  <w:pPr>
                    <w:spacing w:before="0" w:after="0"/>
                    <w:rPr>
                      <w:bCs/>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2019</w:t>
                  </w:r>
                </w:p>
              </w:tc>
              <w:tc>
                <w:tcPr>
                  <w:tcW w:w="780" w:type="dxa"/>
                  <w:vAlign w:val="bottom"/>
                </w:tcPr>
                <w:p w14:paraId="162A9E63">
                  <w:pPr>
                    <w:spacing w:before="0" w:after="0"/>
                    <w:rPr>
                      <w:bCs/>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2020</w:t>
                  </w:r>
                </w:p>
              </w:tc>
              <w:tc>
                <w:tcPr>
                  <w:tcW w:w="822" w:type="dxa"/>
                  <w:vAlign w:val="bottom"/>
                </w:tcPr>
                <w:p w14:paraId="1B14CD67">
                  <w:pPr>
                    <w:spacing w:before="0" w:after="0"/>
                    <w:rPr>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2021</w:t>
                  </w:r>
                </w:p>
              </w:tc>
              <w:tc>
                <w:tcPr>
                  <w:tcW w:w="861" w:type="dxa"/>
                  <w:vAlign w:val="bottom"/>
                </w:tcPr>
                <w:p w14:paraId="4818CBA4">
                  <w:pPr>
                    <w:spacing w:before="0" w:after="0"/>
                    <w:rPr>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2022</w:t>
                  </w:r>
                </w:p>
              </w:tc>
              <w:tc>
                <w:tcPr>
                  <w:tcW w:w="789" w:type="dxa"/>
                </w:tcPr>
                <w:p w14:paraId="5C717D87">
                  <w:pPr>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2023</w:t>
                  </w:r>
                </w:p>
              </w:tc>
            </w:tr>
            <w:tr w14:paraId="3FFABB16">
              <w:trPr>
                <w:trHeight w:val="90" w:hRule="atLeast"/>
              </w:trPr>
              <w:tc>
                <w:tcPr>
                  <w:tcW w:w="900" w:type="dxa"/>
                </w:tcPr>
                <w:p w14:paraId="3E453D24">
                  <w:pPr>
                    <w:spacing w:before="0" w:after="0"/>
                    <w:rPr>
                      <w:bCs/>
                      <w:color w:val="000000" w:themeColor="text1"/>
                      <w:highlight w:val="none"/>
                      <w:lang w:val="en-US"/>
                      <w14:textFill>
                        <w14:solidFill>
                          <w14:schemeClr w14:val="tx1"/>
                        </w14:solidFill>
                      </w14:textFill>
                    </w:rPr>
                  </w:pPr>
                  <w:r>
                    <w:rPr>
                      <w:bCs/>
                      <w:color w:val="000000" w:themeColor="text1"/>
                      <w:highlight w:val="none"/>
                      <w:lang w:val="en-US"/>
                      <w14:textFill>
                        <w14:solidFill>
                          <w14:schemeClr w14:val="tx1"/>
                        </w14:solidFill>
                      </w14:textFill>
                    </w:rPr>
                    <w:t>EF</w:t>
                  </w:r>
                  <w:r>
                    <w:rPr>
                      <w:bCs/>
                      <w:color w:val="000000" w:themeColor="text1"/>
                      <w:highlight w:val="none"/>
                      <w:vertAlign w:val="subscript"/>
                      <w:lang w:val="en-US"/>
                      <w14:textFill>
                        <w14:solidFill>
                          <w14:schemeClr w14:val="tx1"/>
                        </w14:solidFill>
                      </w14:textFill>
                    </w:rPr>
                    <w:t>,EF,j,y</w:t>
                  </w:r>
                  <w:r>
                    <w:rPr>
                      <w:bCs/>
                      <w:color w:val="000000" w:themeColor="text1"/>
                      <w:highlight w:val="none"/>
                      <w:lang w:val="en-US"/>
                      <w14:textFill>
                        <w14:solidFill>
                          <w14:schemeClr w14:val="tx1"/>
                        </w14:solidFill>
                      </w14:textFill>
                    </w:rPr>
                    <w:t xml:space="preserve"> (</w:t>
                  </w:r>
                  <w:r>
                    <w:rPr>
                      <w:rFonts w:hint="default"/>
                      <w:bCs/>
                      <w:color w:val="000000" w:themeColor="text1"/>
                      <w:highlight w:val="none"/>
                      <w:lang w:val="es-ES"/>
                      <w14:textFill>
                        <w14:solidFill>
                          <w14:schemeClr w14:val="tx1"/>
                        </w14:solidFill>
                      </w14:textFill>
                    </w:rPr>
                    <w:t xml:space="preserve"> CO</w:t>
                  </w:r>
                  <w:r>
                    <w:rPr>
                      <w:rFonts w:hint="default"/>
                      <w:bCs/>
                      <w:color w:val="000000" w:themeColor="text1"/>
                      <w:highlight w:val="none"/>
                      <w:vertAlign w:val="subscript"/>
                      <w:lang w:val="es-ES"/>
                      <w14:textFill>
                        <w14:solidFill>
                          <w14:schemeClr w14:val="tx1"/>
                        </w14:solidFill>
                      </w14:textFill>
                    </w:rPr>
                    <w:t>2</w:t>
                  </w:r>
                  <w:r>
                    <w:rPr>
                      <w:bCs/>
                      <w:color w:val="000000" w:themeColor="text1"/>
                      <w:highlight w:val="none"/>
                      <w:lang w:val="en-US"/>
                      <w14:textFill>
                        <w14:solidFill>
                          <w14:schemeClr w14:val="tx1"/>
                        </w14:solidFill>
                      </w14:textFill>
                    </w:rPr>
                    <w:t>t</w:t>
                  </w:r>
                  <w:r>
                    <w:rPr>
                      <w:rFonts w:hint="default"/>
                      <w:bCs/>
                      <w:color w:val="000000" w:themeColor="text1"/>
                      <w:highlight w:val="none"/>
                      <w:lang w:val="es-ES"/>
                      <w14:textFill>
                        <w14:solidFill>
                          <w14:schemeClr w14:val="tx1"/>
                        </w14:solidFill>
                      </w14:textFill>
                    </w:rPr>
                    <w:t>/MWh</w:t>
                  </w:r>
                  <w:r>
                    <w:rPr>
                      <w:bCs/>
                      <w:color w:val="000000" w:themeColor="text1"/>
                      <w:highlight w:val="none"/>
                      <w:lang w:val="en-US"/>
                      <w14:textFill>
                        <w14:solidFill>
                          <w14:schemeClr w14:val="tx1"/>
                        </w14:solidFill>
                      </w14:textFill>
                    </w:rPr>
                    <w:t>)</w:t>
                  </w:r>
                </w:p>
              </w:tc>
              <w:tc>
                <w:tcPr>
                  <w:tcW w:w="810" w:type="dxa"/>
                  <w:vAlign w:val="bottom"/>
                </w:tcPr>
                <w:p w14:paraId="05E6A2C9">
                  <w:pPr>
                    <w:spacing w:before="0" w:after="0"/>
                    <w:rPr>
                      <w:bCs/>
                      <w:color w:val="000000" w:themeColor="text1"/>
                      <w:highlight w:val="none"/>
                      <w:lang w:val="en-US"/>
                      <w14:textFill>
                        <w14:solidFill>
                          <w14:schemeClr w14:val="tx1"/>
                        </w14:solidFill>
                      </w14:textFill>
                    </w:rPr>
                  </w:pPr>
                  <w:r>
                    <w:rPr>
                      <w:color w:val="000000" w:themeColor="text1"/>
                      <w:sz w:val="20"/>
                      <w:szCs w:val="20"/>
                      <w:highlight w:val="none"/>
                      <w14:textFill>
                        <w14:solidFill>
                          <w14:schemeClr w14:val="tx1"/>
                        </w14:solidFill>
                      </w14:textFill>
                    </w:rPr>
                    <w:t>0,296</w:t>
                  </w:r>
                </w:p>
              </w:tc>
              <w:tc>
                <w:tcPr>
                  <w:tcW w:w="723" w:type="dxa"/>
                  <w:vAlign w:val="bottom"/>
                </w:tcPr>
                <w:p w14:paraId="014EEF9D">
                  <w:pPr>
                    <w:spacing w:before="0" w:after="0"/>
                    <w:rPr>
                      <w:bCs/>
                      <w:color w:val="000000" w:themeColor="text1"/>
                      <w:highlight w:val="none"/>
                      <w:lang w:val="en-US"/>
                      <w14:textFill>
                        <w14:solidFill>
                          <w14:schemeClr w14:val="tx1"/>
                        </w14:solidFill>
                      </w14:textFill>
                    </w:rPr>
                  </w:pPr>
                  <w:r>
                    <w:rPr>
                      <w:color w:val="000000" w:themeColor="text1"/>
                      <w:sz w:val="20"/>
                      <w:szCs w:val="20"/>
                      <w:highlight w:val="none"/>
                      <w14:textFill>
                        <w14:solidFill>
                          <w14:schemeClr w14:val="tx1"/>
                        </w14:solidFill>
                      </w14:textFill>
                    </w:rPr>
                    <w:t>0,267</w:t>
                  </w:r>
                </w:p>
              </w:tc>
              <w:tc>
                <w:tcPr>
                  <w:tcW w:w="780" w:type="dxa"/>
                  <w:vAlign w:val="bottom"/>
                </w:tcPr>
                <w:p w14:paraId="5B31C34A">
                  <w:pPr>
                    <w:spacing w:before="0" w:after="0"/>
                    <w:rPr>
                      <w:bCs/>
                      <w:color w:val="000000" w:themeColor="text1"/>
                      <w:highlight w:val="none"/>
                      <w:lang w:val="en-US"/>
                      <w14:textFill>
                        <w14:solidFill>
                          <w14:schemeClr w14:val="tx1"/>
                        </w14:solidFill>
                      </w14:textFill>
                    </w:rPr>
                  </w:pPr>
                  <w:r>
                    <w:rPr>
                      <w:color w:val="000000" w:themeColor="text1"/>
                      <w:sz w:val="20"/>
                      <w:szCs w:val="20"/>
                      <w:highlight w:val="none"/>
                      <w14:textFill>
                        <w14:solidFill>
                          <w14:schemeClr w14:val="tx1"/>
                        </w14:solidFill>
                      </w14:textFill>
                    </w:rPr>
                    <w:t>0,275</w:t>
                  </w:r>
                </w:p>
              </w:tc>
              <w:tc>
                <w:tcPr>
                  <w:tcW w:w="822" w:type="dxa"/>
                  <w:vAlign w:val="bottom"/>
                </w:tcPr>
                <w:p w14:paraId="235DD6D7">
                  <w:pPr>
                    <w:spacing w:before="0" w:after="0"/>
                    <w:rPr>
                      <w:bCs/>
                      <w:color w:val="000000" w:themeColor="text1"/>
                      <w:highlight w:val="none"/>
                      <w:lang w:val="en-US"/>
                      <w14:textFill>
                        <w14:solidFill>
                          <w14:schemeClr w14:val="tx1"/>
                        </w14:solidFill>
                      </w14:textFill>
                    </w:rPr>
                  </w:pPr>
                  <w:r>
                    <w:rPr>
                      <w:color w:val="000000" w:themeColor="text1"/>
                      <w:sz w:val="20"/>
                      <w:szCs w:val="20"/>
                      <w:highlight w:val="none"/>
                      <w14:textFill>
                        <w14:solidFill>
                          <w14:schemeClr w14:val="tx1"/>
                        </w14:solidFill>
                      </w14:textFill>
                    </w:rPr>
                    <w:t>0,292</w:t>
                  </w:r>
                </w:p>
              </w:tc>
              <w:tc>
                <w:tcPr>
                  <w:tcW w:w="861" w:type="dxa"/>
                  <w:vAlign w:val="bottom"/>
                </w:tcPr>
                <w:p w14:paraId="7F703E96">
                  <w:pPr>
                    <w:spacing w:before="0" w:after="0"/>
                    <w:rPr>
                      <w:bCs/>
                      <w:color w:val="000000" w:themeColor="text1"/>
                      <w:highlight w:val="none"/>
                      <w:lang w:val="en-US"/>
                      <w14:textFill>
                        <w14:solidFill>
                          <w14:schemeClr w14:val="tx1"/>
                        </w14:solidFill>
                      </w14:textFill>
                    </w:rPr>
                  </w:pPr>
                  <w:r>
                    <w:rPr>
                      <w:color w:val="000000" w:themeColor="text1"/>
                      <w:sz w:val="20"/>
                      <w:szCs w:val="20"/>
                      <w:highlight w:val="none"/>
                      <w14:textFill>
                        <w14:solidFill>
                          <w14:schemeClr w14:val="tx1"/>
                        </w14:solidFill>
                      </w14:textFill>
                    </w:rPr>
                    <w:t>0,2717</w:t>
                  </w:r>
                </w:p>
              </w:tc>
              <w:tc>
                <w:tcPr>
                  <w:tcW w:w="789" w:type="dxa"/>
                </w:tcPr>
                <w:p w14:paraId="29395137">
                  <w:pPr>
                    <w:spacing w:before="0" w:after="0"/>
                    <w:rPr>
                      <w:color w:val="000000" w:themeColor="text1"/>
                      <w:sz w:val="20"/>
                      <w:szCs w:val="20"/>
                      <w:highlight w:val="none"/>
                      <w14:textFill>
                        <w14:solidFill>
                          <w14:schemeClr w14:val="tx1"/>
                        </w14:solidFill>
                      </w14:textFill>
                    </w:rPr>
                  </w:pPr>
                  <w:r>
                    <w:rPr>
                      <w:color w:val="000000" w:themeColor="text1"/>
                      <w:sz w:val="20"/>
                      <w:szCs w:val="20"/>
                      <w:highlight w:val="none"/>
                      <w14:textFill>
                        <w14:solidFill>
                          <w14:schemeClr w14:val="tx1"/>
                        </w14:solidFill>
                      </w14:textFill>
                    </w:rPr>
                    <w:t>0,231</w:t>
                  </w:r>
                </w:p>
              </w:tc>
            </w:tr>
          </w:tbl>
          <w:p w14:paraId="07859E36">
            <w:pPr>
              <w:spacing w:after="0"/>
              <w:rPr>
                <w:rFonts w:hint="default" w:eastAsia="Arial"/>
                <w:highlight w:val="none"/>
                <w:lang w:val="es-ES"/>
              </w:rPr>
            </w:pPr>
          </w:p>
        </w:tc>
      </w:tr>
      <w:tr w14:paraId="2FC4E28C">
        <w:tc>
          <w:tcPr>
            <w:tcW w:w="2328" w:type="dxa"/>
            <w:shd w:val="clear" w:color="auto" w:fill="F1F1F1" w:themeFill="background1" w:themeFillShade="F2"/>
          </w:tcPr>
          <w:p w14:paraId="6F89F7AD">
            <w:pPr>
              <w:pStyle w:val="35"/>
              <w:snapToGrid w:val="0"/>
              <w:spacing w:before="0" w:after="0"/>
              <w:ind w:left="0"/>
              <w:contextualSpacing w:val="0"/>
              <w:rPr>
                <w:highlight w:val="none"/>
                <w:lang w:val="en-US"/>
              </w:rPr>
            </w:pPr>
            <w:r>
              <w:rPr>
                <w:highlight w:val="none"/>
                <w:lang w:val="en-US"/>
              </w:rPr>
              <w:t>Purpose of data</w:t>
            </w:r>
          </w:p>
        </w:tc>
        <w:tc>
          <w:tcPr>
            <w:tcW w:w="6149" w:type="dxa"/>
          </w:tcPr>
          <w:p w14:paraId="2BD7C1B7">
            <w:pPr>
              <w:pStyle w:val="22"/>
              <w:spacing w:before="0" w:beforeAutospacing="0" w:after="0" w:afterAutospacing="0"/>
              <w:rPr>
                <w:rFonts w:ascii="Arial" w:hAnsi="Arial" w:cs="Arial" w:eastAsiaTheme="minorHAnsi"/>
                <w:sz w:val="22"/>
                <w:szCs w:val="22"/>
                <w:highlight w:val="none"/>
                <w:lang w:eastAsia="en-US"/>
              </w:rPr>
            </w:pPr>
            <w:r>
              <w:rPr>
                <w:rFonts w:ascii="Arial" w:hAnsi="Arial" w:cs="Arial" w:eastAsiaTheme="minorHAnsi"/>
                <w:sz w:val="22"/>
                <w:szCs w:val="22"/>
                <w:highlight w:val="none"/>
                <w:lang w:eastAsia="en-US"/>
              </w:rPr>
              <w:t>Determination of the project emissions</w:t>
            </w:r>
          </w:p>
        </w:tc>
      </w:tr>
      <w:tr w14:paraId="5F85892C">
        <w:trPr>
          <w:trHeight w:val="263" w:hRule="atLeast"/>
        </w:trPr>
        <w:tc>
          <w:tcPr>
            <w:tcW w:w="2328" w:type="dxa"/>
            <w:shd w:val="clear" w:color="auto" w:fill="F1F1F1" w:themeFill="background1" w:themeFillShade="F2"/>
          </w:tcPr>
          <w:p w14:paraId="6E263170">
            <w:pPr>
              <w:pStyle w:val="35"/>
              <w:snapToGrid w:val="0"/>
              <w:spacing w:before="0" w:after="0"/>
              <w:ind w:left="0"/>
              <w:contextualSpacing w:val="0"/>
              <w:rPr>
                <w:highlight w:val="none"/>
                <w:lang w:val="en-US"/>
              </w:rPr>
            </w:pPr>
            <w:r>
              <w:rPr>
                <w:highlight w:val="none"/>
                <w:lang w:val="en-US"/>
              </w:rPr>
              <w:t>Any comments</w:t>
            </w:r>
          </w:p>
        </w:tc>
        <w:tc>
          <w:tcPr>
            <w:tcW w:w="6149" w:type="dxa"/>
          </w:tcPr>
          <w:p w14:paraId="12316DA8">
            <w:pPr>
              <w:spacing w:after="0" w:line="259" w:lineRule="auto"/>
              <w:rPr>
                <w:rFonts w:hint="default" w:eastAsia="Arial"/>
                <w:highlight w:val="none"/>
                <w:lang w:val="es-ES"/>
              </w:rPr>
            </w:pPr>
            <w:r>
              <w:rPr>
                <w:rFonts w:hint="default" w:eastAsia="Arial"/>
                <w:highlight w:val="none"/>
                <w:lang w:val="es-ES"/>
              </w:rPr>
              <w:t>-</w:t>
            </w:r>
          </w:p>
        </w:tc>
      </w:tr>
    </w:tbl>
    <w:p w14:paraId="2B2D1412">
      <w:pPr>
        <w:pStyle w:val="35"/>
        <w:snapToGrid w:val="0"/>
        <w:spacing w:after="0"/>
        <w:ind w:left="0"/>
        <w:contextualSpacing w:val="0"/>
        <w:rPr>
          <w:highlight w:val="none"/>
          <w:lang w:val="en-US"/>
        </w:rPr>
      </w:pPr>
    </w:p>
    <w:p w14:paraId="1742E58F">
      <w:pPr>
        <w:pStyle w:val="35"/>
        <w:snapToGrid w:val="0"/>
        <w:spacing w:after="0"/>
        <w:ind w:left="0"/>
        <w:contextualSpacing w:val="0"/>
        <w:rPr>
          <w:highlight w:val="none"/>
          <w:lang w:val="en-US"/>
        </w:rPr>
      </w:pPr>
      <w:r>
        <w:rPr>
          <w:highlight w:val="none"/>
          <w:lang w:val="en-US"/>
        </w:rPr>
        <w:t>Data/Parameter 2</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083"/>
      </w:tblGrid>
      <w:tr w14:paraId="6454E6C1">
        <w:tc>
          <w:tcPr>
            <w:tcW w:w="2405" w:type="dxa"/>
            <w:shd w:val="clear" w:color="auto" w:fill="F1F1F1" w:themeFill="background1" w:themeFillShade="F2"/>
          </w:tcPr>
          <w:p w14:paraId="7F5E5A9B">
            <w:pPr>
              <w:pStyle w:val="35"/>
              <w:snapToGrid w:val="0"/>
              <w:spacing w:before="0" w:after="0"/>
              <w:ind w:left="0"/>
              <w:contextualSpacing w:val="0"/>
              <w:rPr>
                <w:highlight w:val="none"/>
                <w:lang w:val="en-US"/>
              </w:rPr>
            </w:pPr>
            <w:r>
              <w:rPr>
                <w:highlight w:val="none"/>
                <w:lang w:val="en-US"/>
              </w:rPr>
              <w:t>Data/Parameter</w:t>
            </w:r>
          </w:p>
        </w:tc>
        <w:tc>
          <w:tcPr>
            <w:tcW w:w="6083" w:type="dxa"/>
          </w:tcPr>
          <w:p w14:paraId="6FD5BAFF">
            <w:pPr>
              <w:spacing w:before="0" w:after="0"/>
              <w:rPr>
                <w:b/>
                <w:bCs/>
                <w:i/>
                <w:iCs/>
                <w:highlight w:val="none"/>
                <w:lang w:val="en-US"/>
              </w:rPr>
            </w:pPr>
            <w:r>
              <w:rPr>
                <w:b/>
                <w:i/>
                <w:iCs/>
                <w:highlight w:val="none"/>
                <w:lang w:val="en-US"/>
              </w:rPr>
              <w:t>TDLj,y</w:t>
            </w:r>
          </w:p>
        </w:tc>
      </w:tr>
      <w:tr w14:paraId="32A5528B">
        <w:tc>
          <w:tcPr>
            <w:tcW w:w="2405" w:type="dxa"/>
            <w:shd w:val="clear" w:color="auto" w:fill="F1F1F1" w:themeFill="background1" w:themeFillShade="F2"/>
          </w:tcPr>
          <w:p w14:paraId="524C8925">
            <w:pPr>
              <w:pStyle w:val="35"/>
              <w:snapToGrid w:val="0"/>
              <w:spacing w:before="0" w:after="0"/>
              <w:ind w:left="0"/>
              <w:contextualSpacing w:val="0"/>
              <w:rPr>
                <w:highlight w:val="none"/>
                <w:lang w:val="en-US"/>
              </w:rPr>
            </w:pPr>
            <w:r>
              <w:rPr>
                <w:highlight w:val="none"/>
                <w:lang w:val="en-US"/>
              </w:rPr>
              <w:t>Data unit</w:t>
            </w:r>
          </w:p>
        </w:tc>
        <w:tc>
          <w:tcPr>
            <w:tcW w:w="6083" w:type="dxa"/>
          </w:tcPr>
          <w:p w14:paraId="03426027">
            <w:pPr>
              <w:pStyle w:val="35"/>
              <w:snapToGrid w:val="0"/>
              <w:spacing w:before="0" w:after="0"/>
              <w:ind w:left="0"/>
              <w:contextualSpacing w:val="0"/>
              <w:rPr>
                <w:highlight w:val="none"/>
                <w:lang w:val="en-US"/>
              </w:rPr>
            </w:pPr>
            <w:r>
              <w:rPr>
                <w:bCs/>
                <w:i/>
                <w:iCs/>
                <w:highlight w:val="none"/>
                <w:lang w:val="en-US"/>
              </w:rPr>
              <w:t>-</w:t>
            </w:r>
          </w:p>
        </w:tc>
      </w:tr>
      <w:tr w14:paraId="11B600D0">
        <w:tc>
          <w:tcPr>
            <w:tcW w:w="2405" w:type="dxa"/>
            <w:shd w:val="clear" w:color="auto" w:fill="F1F1F1" w:themeFill="background1" w:themeFillShade="F2"/>
          </w:tcPr>
          <w:p w14:paraId="18A7B3D3">
            <w:pPr>
              <w:pStyle w:val="35"/>
              <w:snapToGrid w:val="0"/>
              <w:spacing w:before="0" w:after="0"/>
              <w:ind w:left="0"/>
              <w:contextualSpacing w:val="0"/>
              <w:rPr>
                <w:highlight w:val="none"/>
                <w:lang w:val="en-US"/>
              </w:rPr>
            </w:pPr>
            <w:r>
              <w:rPr>
                <w:highlight w:val="none"/>
                <w:lang w:val="en-US"/>
              </w:rPr>
              <w:t>Description</w:t>
            </w:r>
          </w:p>
        </w:tc>
        <w:tc>
          <w:tcPr>
            <w:tcW w:w="6083" w:type="dxa"/>
          </w:tcPr>
          <w:p w14:paraId="65DF64CD">
            <w:pPr>
              <w:snapToGrid w:val="0"/>
              <w:spacing w:before="0" w:after="0"/>
              <w:rPr>
                <w:bCs/>
                <w:highlight w:val="none"/>
                <w:lang w:val="en-US"/>
              </w:rPr>
            </w:pPr>
            <w:r>
              <w:rPr>
                <w:bCs/>
                <w:highlight w:val="none"/>
                <w:lang w:val="en-US"/>
              </w:rPr>
              <w:t>Average technical transmission and distribution losses for providing electricity to source j in year y</w:t>
            </w:r>
          </w:p>
        </w:tc>
      </w:tr>
      <w:tr w14:paraId="6AE080D2">
        <w:tc>
          <w:tcPr>
            <w:tcW w:w="2405" w:type="dxa"/>
            <w:shd w:val="clear" w:color="auto" w:fill="F1F1F1" w:themeFill="background1" w:themeFillShade="F2"/>
          </w:tcPr>
          <w:p w14:paraId="064B760E">
            <w:pPr>
              <w:pStyle w:val="35"/>
              <w:snapToGrid w:val="0"/>
              <w:spacing w:before="0" w:after="0"/>
              <w:ind w:left="0"/>
              <w:contextualSpacing w:val="0"/>
              <w:rPr>
                <w:highlight w:val="none"/>
                <w:lang w:val="en-US"/>
              </w:rPr>
            </w:pPr>
            <w:r>
              <w:rPr>
                <w:highlight w:val="none"/>
                <w:lang w:val="en-US"/>
              </w:rPr>
              <w:t>Source data</w:t>
            </w:r>
          </w:p>
        </w:tc>
        <w:tc>
          <w:tcPr>
            <w:tcW w:w="6083" w:type="dxa"/>
          </w:tcPr>
          <w:p w14:paraId="356FA922">
            <w:pPr>
              <w:snapToGrid w:val="0"/>
              <w:spacing w:before="0" w:after="0"/>
              <w:rPr>
                <w:highlight w:val="none"/>
                <w:lang w:val="en-US"/>
              </w:rPr>
            </w:pPr>
            <w:r>
              <w:rPr>
                <w:highlight w:val="none"/>
                <w:lang w:val="en-US"/>
              </w:rPr>
              <w:t>IEA Statistics OECD/IEA 2018.</w:t>
            </w:r>
          </w:p>
        </w:tc>
      </w:tr>
      <w:tr w14:paraId="361121D7">
        <w:tc>
          <w:tcPr>
            <w:tcW w:w="2405" w:type="dxa"/>
            <w:shd w:val="clear" w:color="auto" w:fill="F1F1F1" w:themeFill="background1" w:themeFillShade="F2"/>
          </w:tcPr>
          <w:p w14:paraId="7861C49F">
            <w:pPr>
              <w:pStyle w:val="35"/>
              <w:snapToGrid w:val="0"/>
              <w:spacing w:before="0" w:after="0"/>
              <w:ind w:left="0"/>
              <w:contextualSpacing w:val="0"/>
              <w:rPr>
                <w:highlight w:val="none"/>
                <w:lang w:val="en-US"/>
              </w:rPr>
            </w:pPr>
            <w:r>
              <w:rPr>
                <w:highlight w:val="none"/>
                <w:lang w:val="en-US"/>
              </w:rPr>
              <w:t>Value applied</w:t>
            </w:r>
          </w:p>
        </w:tc>
        <w:tc>
          <w:tcPr>
            <w:tcW w:w="6083" w:type="dxa"/>
          </w:tcPr>
          <w:p w14:paraId="540D726D">
            <w:pPr>
              <w:pStyle w:val="35"/>
              <w:snapToGrid w:val="0"/>
              <w:spacing w:before="0" w:after="0"/>
              <w:ind w:left="0"/>
              <w:contextualSpacing w:val="0"/>
              <w:rPr>
                <w:highlight w:val="none"/>
                <w:lang w:val="en-US"/>
              </w:rPr>
            </w:pPr>
            <w:r>
              <w:rPr>
                <w:highlight w:val="none"/>
                <w:lang w:val="en-US"/>
              </w:rPr>
              <w:t>15%</w:t>
            </w:r>
          </w:p>
        </w:tc>
      </w:tr>
      <w:tr w14:paraId="3D537561">
        <w:tc>
          <w:tcPr>
            <w:tcW w:w="2405" w:type="dxa"/>
            <w:shd w:val="clear" w:color="auto" w:fill="F1F1F1" w:themeFill="background1" w:themeFillShade="F2"/>
          </w:tcPr>
          <w:p w14:paraId="2D4F3B8F">
            <w:pPr>
              <w:pStyle w:val="35"/>
              <w:snapToGrid w:val="0"/>
              <w:spacing w:before="0" w:after="0"/>
              <w:ind w:left="0"/>
              <w:contextualSpacing w:val="0"/>
              <w:rPr>
                <w:highlight w:val="none"/>
                <w:lang w:val="en-US"/>
              </w:rPr>
            </w:pPr>
            <w:r>
              <w:rPr>
                <w:highlight w:val="none"/>
                <w:lang w:val="en-US"/>
              </w:rPr>
              <w:t>Justification of choice of data or description of measurement methods and procedures applied</w:t>
            </w:r>
          </w:p>
        </w:tc>
        <w:tc>
          <w:tcPr>
            <w:tcW w:w="6083" w:type="dxa"/>
          </w:tcPr>
          <w:p w14:paraId="3D6B05E8">
            <w:pPr>
              <w:snapToGrid w:val="0"/>
              <w:spacing w:before="0" w:after="0"/>
              <w:rPr>
                <w:highlight w:val="none"/>
                <w:lang w:val="en-US"/>
              </w:rPr>
            </w:pPr>
            <w:r>
              <w:rPr>
                <w:rFonts w:eastAsia="Arial"/>
                <w:iCs/>
                <w:highlight w:val="none"/>
                <w:lang w:val="en-US"/>
              </w:rPr>
              <w:t xml:space="preserve">Based on The Wolrd Bank stadistics (IEA), the electric power transmisión and distribution losses (% of outputs) in Argentina is 15.% </w:t>
            </w:r>
            <w:r>
              <w:rPr>
                <w:rFonts w:eastAsia="Arial"/>
                <w:iCs/>
                <w:highlight w:val="none"/>
                <w:lang w:val="en-US"/>
              </w:rPr>
              <w:fldChar w:fldCharType="begin"/>
            </w:r>
            <w:r>
              <w:rPr>
                <w:rFonts w:eastAsia="Arial"/>
                <w:iCs/>
                <w:highlight w:val="none"/>
                <w:lang w:val="en-US"/>
              </w:rPr>
              <w:instrText xml:space="preserve"> HYPERLINK "https://data.worldbank.org/indicator/EG.ELC.LOSS.ZS%20" </w:instrText>
            </w:r>
            <w:r>
              <w:rPr>
                <w:rFonts w:eastAsia="Arial"/>
                <w:iCs/>
                <w:highlight w:val="none"/>
                <w:lang w:val="en-US"/>
              </w:rPr>
              <w:fldChar w:fldCharType="separate"/>
            </w:r>
            <w:r>
              <w:rPr>
                <w:rStyle w:val="20"/>
                <w:rFonts w:eastAsia="Arial"/>
                <w:iCs/>
                <w:highlight w:val="none"/>
                <w:lang w:val="en-US"/>
              </w:rPr>
              <w:t xml:space="preserve">https://data.worldbank.org/indicator/EG.ELC.LOSS.ZS </w:t>
            </w:r>
            <w:r>
              <w:rPr>
                <w:rFonts w:eastAsia="Arial"/>
                <w:iCs/>
                <w:highlight w:val="none"/>
                <w:lang w:val="en-US"/>
              </w:rPr>
              <w:fldChar w:fldCharType="end"/>
            </w:r>
          </w:p>
        </w:tc>
      </w:tr>
      <w:tr w14:paraId="31692461">
        <w:tc>
          <w:tcPr>
            <w:tcW w:w="2405" w:type="dxa"/>
            <w:shd w:val="clear" w:color="auto" w:fill="F1F1F1" w:themeFill="background1" w:themeFillShade="F2"/>
          </w:tcPr>
          <w:p w14:paraId="18C14A21">
            <w:pPr>
              <w:pStyle w:val="35"/>
              <w:snapToGrid w:val="0"/>
              <w:spacing w:before="0" w:after="0"/>
              <w:ind w:left="0"/>
              <w:contextualSpacing w:val="0"/>
              <w:rPr>
                <w:highlight w:val="none"/>
                <w:lang w:val="en-US"/>
              </w:rPr>
            </w:pPr>
            <w:r>
              <w:rPr>
                <w:highlight w:val="none"/>
                <w:lang w:val="en-US"/>
              </w:rPr>
              <w:t>Purpose of data</w:t>
            </w:r>
          </w:p>
        </w:tc>
        <w:tc>
          <w:tcPr>
            <w:tcW w:w="6083" w:type="dxa"/>
          </w:tcPr>
          <w:p w14:paraId="2B06FE7E">
            <w:pPr>
              <w:pStyle w:val="22"/>
              <w:spacing w:before="0" w:beforeAutospacing="0" w:after="0" w:afterAutospacing="0"/>
              <w:rPr>
                <w:rFonts w:ascii="Arial" w:hAnsi="Arial" w:cs="Arial" w:eastAsiaTheme="minorHAnsi"/>
                <w:sz w:val="22"/>
                <w:szCs w:val="22"/>
                <w:highlight w:val="none"/>
                <w:lang w:eastAsia="en-US"/>
              </w:rPr>
            </w:pPr>
            <w:r>
              <w:rPr>
                <w:rFonts w:ascii="Arial" w:hAnsi="Arial" w:cs="Arial" w:eastAsiaTheme="minorHAnsi"/>
                <w:sz w:val="22"/>
                <w:szCs w:val="22"/>
                <w:highlight w:val="none"/>
                <w:lang w:eastAsia="en-US"/>
              </w:rPr>
              <w:t>Determination of the project emissions</w:t>
            </w:r>
          </w:p>
        </w:tc>
      </w:tr>
      <w:tr w14:paraId="791AC9FD">
        <w:tc>
          <w:tcPr>
            <w:tcW w:w="2405" w:type="dxa"/>
            <w:shd w:val="clear" w:color="auto" w:fill="F1F1F1" w:themeFill="background1" w:themeFillShade="F2"/>
          </w:tcPr>
          <w:p w14:paraId="5A1E03CC">
            <w:pPr>
              <w:pStyle w:val="35"/>
              <w:snapToGrid w:val="0"/>
              <w:spacing w:before="0" w:after="0"/>
              <w:ind w:left="0"/>
              <w:contextualSpacing w:val="0"/>
              <w:rPr>
                <w:highlight w:val="none"/>
                <w:lang w:val="en-US"/>
              </w:rPr>
            </w:pPr>
            <w:r>
              <w:rPr>
                <w:highlight w:val="none"/>
                <w:lang w:val="en-US"/>
              </w:rPr>
              <w:t>Any comments</w:t>
            </w:r>
          </w:p>
        </w:tc>
        <w:tc>
          <w:tcPr>
            <w:tcW w:w="6083" w:type="dxa"/>
          </w:tcPr>
          <w:p w14:paraId="2AC36677">
            <w:pPr>
              <w:pStyle w:val="35"/>
              <w:snapToGrid w:val="0"/>
              <w:spacing w:before="0" w:after="0"/>
              <w:ind w:left="0"/>
              <w:contextualSpacing w:val="0"/>
              <w:rPr>
                <w:highlight w:val="none"/>
                <w:lang w:val="en-US"/>
              </w:rPr>
            </w:pPr>
            <w:r>
              <w:rPr>
                <w:highlight w:val="none"/>
                <w:lang w:val="en-US"/>
              </w:rPr>
              <w:t>-</w:t>
            </w:r>
          </w:p>
        </w:tc>
      </w:tr>
    </w:tbl>
    <w:p w14:paraId="0331A80F">
      <w:pPr>
        <w:pStyle w:val="35"/>
        <w:snapToGrid w:val="0"/>
        <w:ind w:left="0"/>
        <w:contextualSpacing w:val="0"/>
        <w:rPr>
          <w:highlight w:val="none"/>
          <w:lang w:val="en-US"/>
        </w:rPr>
      </w:pPr>
    </w:p>
    <w:p w14:paraId="592B8E73">
      <w:pPr>
        <w:pStyle w:val="35"/>
        <w:snapToGrid w:val="0"/>
        <w:spacing w:after="0"/>
        <w:ind w:left="0"/>
        <w:contextualSpacing w:val="0"/>
        <w:rPr>
          <w:highlight w:val="none"/>
          <w:lang w:val="en-US"/>
        </w:rPr>
      </w:pPr>
      <w:r>
        <w:rPr>
          <w:highlight w:val="none"/>
          <w:lang w:val="en-US"/>
        </w:rPr>
        <w:t>Data/Parameter 3</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5941"/>
      </w:tblGrid>
      <w:tr w14:paraId="086D961B">
        <w:tc>
          <w:tcPr>
            <w:tcW w:w="2547" w:type="dxa"/>
            <w:shd w:val="clear" w:color="auto" w:fill="F1F1F1" w:themeFill="background1" w:themeFillShade="F2"/>
          </w:tcPr>
          <w:p w14:paraId="72A782FA">
            <w:pPr>
              <w:pStyle w:val="35"/>
              <w:snapToGrid w:val="0"/>
              <w:spacing w:before="0" w:after="0"/>
              <w:ind w:left="0"/>
              <w:contextualSpacing w:val="0"/>
              <w:rPr>
                <w:highlight w:val="none"/>
                <w:lang w:val="en-US"/>
              </w:rPr>
            </w:pPr>
            <w:r>
              <w:rPr>
                <w:highlight w:val="none"/>
                <w:lang w:val="en-US"/>
              </w:rPr>
              <w:t>Data/Parameter</w:t>
            </w:r>
          </w:p>
        </w:tc>
        <w:tc>
          <w:tcPr>
            <w:tcW w:w="5941" w:type="dxa"/>
          </w:tcPr>
          <w:p w14:paraId="51404DB5">
            <w:pPr>
              <w:spacing w:before="0" w:after="0"/>
              <w:rPr>
                <w:b w:val="0"/>
                <w:bCs/>
                <w:i/>
                <w:iCs/>
                <w:highlight w:val="none"/>
                <w:lang w:val="en-US"/>
              </w:rPr>
            </w:pPr>
            <w:r>
              <w:rPr>
                <w:b w:val="0"/>
                <w:bCs/>
                <w:i/>
                <w:iCs/>
                <w:highlight w:val="none"/>
                <w:lang w:val="en-US"/>
              </w:rPr>
              <w:t>EF</w:t>
            </w:r>
            <w:r>
              <w:rPr>
                <w:b w:val="0"/>
                <w:bCs/>
                <w:i/>
                <w:iCs/>
                <w:highlight w:val="none"/>
                <w:vertAlign w:val="subscript"/>
                <w:lang w:val="en-US"/>
              </w:rPr>
              <w:t>FC,default</w:t>
            </w:r>
          </w:p>
        </w:tc>
      </w:tr>
      <w:tr w14:paraId="23C069A0">
        <w:tc>
          <w:tcPr>
            <w:tcW w:w="2547" w:type="dxa"/>
            <w:shd w:val="clear" w:color="auto" w:fill="F1F1F1" w:themeFill="background1" w:themeFillShade="F2"/>
          </w:tcPr>
          <w:p w14:paraId="73936932">
            <w:pPr>
              <w:pStyle w:val="35"/>
              <w:snapToGrid w:val="0"/>
              <w:spacing w:before="0" w:after="0"/>
              <w:ind w:left="0"/>
              <w:contextualSpacing w:val="0"/>
              <w:rPr>
                <w:highlight w:val="none"/>
                <w:lang w:val="en-US"/>
              </w:rPr>
            </w:pPr>
            <w:r>
              <w:rPr>
                <w:highlight w:val="none"/>
                <w:lang w:val="en-US"/>
              </w:rPr>
              <w:t>Data unit</w:t>
            </w:r>
          </w:p>
        </w:tc>
        <w:tc>
          <w:tcPr>
            <w:tcW w:w="5941" w:type="dxa"/>
          </w:tcPr>
          <w:p w14:paraId="084262E6">
            <w:pPr>
              <w:pStyle w:val="35"/>
              <w:snapToGrid w:val="0"/>
              <w:spacing w:before="0" w:after="0"/>
              <w:ind w:left="0"/>
              <w:contextualSpacing w:val="0"/>
              <w:rPr>
                <w:highlight w:val="none"/>
                <w:lang w:val="en-US"/>
              </w:rPr>
            </w:pPr>
            <w:r>
              <w:rPr>
                <w:highlight w:val="none"/>
                <w:lang w:val="en-US"/>
              </w:rPr>
              <w:t>Tons of CO</w:t>
            </w:r>
            <w:r>
              <w:rPr>
                <w:highlight w:val="none"/>
                <w:vertAlign w:val="subscript"/>
                <w:lang w:val="en-US"/>
              </w:rPr>
              <w:t>2</w:t>
            </w:r>
            <w:r>
              <w:rPr>
                <w:highlight w:val="none"/>
                <w:lang w:val="en-US"/>
              </w:rPr>
              <w:t xml:space="preserve"> per liters </w:t>
            </w:r>
            <w:r>
              <w:rPr>
                <w:rFonts w:eastAsia="Arial"/>
                <w:highlight w:val="none"/>
                <w:lang w:val="en-US"/>
              </w:rPr>
              <w:t>(tCO</w:t>
            </w:r>
            <w:r>
              <w:rPr>
                <w:rFonts w:eastAsia="Arial"/>
                <w:highlight w:val="none"/>
                <w:vertAlign w:val="subscript"/>
                <w:lang w:val="en-US"/>
              </w:rPr>
              <w:t>2</w:t>
            </w:r>
            <w:r>
              <w:rPr>
                <w:rFonts w:eastAsia="Arial"/>
                <w:highlight w:val="none"/>
                <w:lang w:val="en-US"/>
              </w:rPr>
              <w:t>/L)</w:t>
            </w:r>
          </w:p>
        </w:tc>
      </w:tr>
      <w:tr w14:paraId="51B1DE13">
        <w:tc>
          <w:tcPr>
            <w:tcW w:w="2547" w:type="dxa"/>
            <w:shd w:val="clear" w:color="auto" w:fill="F1F1F1" w:themeFill="background1" w:themeFillShade="F2"/>
          </w:tcPr>
          <w:p w14:paraId="4002D5BC">
            <w:pPr>
              <w:pStyle w:val="35"/>
              <w:snapToGrid w:val="0"/>
              <w:spacing w:before="0" w:after="0"/>
              <w:ind w:left="0"/>
              <w:contextualSpacing w:val="0"/>
              <w:rPr>
                <w:highlight w:val="none"/>
                <w:lang w:val="en-US"/>
              </w:rPr>
            </w:pPr>
            <w:r>
              <w:rPr>
                <w:highlight w:val="none"/>
                <w:lang w:val="en-US"/>
              </w:rPr>
              <w:t>Description</w:t>
            </w:r>
          </w:p>
        </w:tc>
        <w:tc>
          <w:tcPr>
            <w:tcW w:w="5941" w:type="dxa"/>
          </w:tcPr>
          <w:p w14:paraId="0A6C7A52">
            <w:pPr>
              <w:snapToGrid w:val="0"/>
              <w:spacing w:before="0" w:after="0"/>
              <w:rPr>
                <w:bCs/>
                <w:highlight w:val="none"/>
                <w:lang w:val="en-US"/>
              </w:rPr>
            </w:pPr>
            <w:r>
              <w:rPr>
                <w:rFonts w:eastAsia="Arial"/>
                <w:highlight w:val="none"/>
                <w:lang w:val="en-US"/>
              </w:rPr>
              <w:t xml:space="preserve">Emission factor of diesel in year y </w:t>
            </w:r>
          </w:p>
        </w:tc>
      </w:tr>
      <w:tr w14:paraId="61C11925">
        <w:tc>
          <w:tcPr>
            <w:tcW w:w="2547" w:type="dxa"/>
            <w:shd w:val="clear" w:color="auto" w:fill="F1F1F1" w:themeFill="background1" w:themeFillShade="F2"/>
          </w:tcPr>
          <w:p w14:paraId="54B35AD4">
            <w:pPr>
              <w:pStyle w:val="35"/>
              <w:snapToGrid w:val="0"/>
              <w:spacing w:before="0" w:after="0"/>
              <w:ind w:left="0"/>
              <w:contextualSpacing w:val="0"/>
              <w:rPr>
                <w:highlight w:val="none"/>
                <w:lang w:val="en-US"/>
              </w:rPr>
            </w:pPr>
            <w:r>
              <w:rPr>
                <w:highlight w:val="none"/>
                <w:lang w:val="en-US"/>
              </w:rPr>
              <w:t>Source data</w:t>
            </w:r>
          </w:p>
        </w:tc>
        <w:tc>
          <w:tcPr>
            <w:tcW w:w="5941" w:type="dxa"/>
          </w:tcPr>
          <w:p w14:paraId="0ACDAD22">
            <w:pPr>
              <w:snapToGrid w:val="0"/>
              <w:spacing w:before="0" w:after="0"/>
              <w:rPr>
                <w:highlight w:val="none"/>
                <w:lang w:val="en-US"/>
              </w:rPr>
            </w:pPr>
            <w:r>
              <w:rPr>
                <w:highlight w:val="none"/>
                <w:lang w:val="en-US"/>
              </w:rPr>
              <w:t>Govern of Argentina</w:t>
            </w:r>
          </w:p>
        </w:tc>
      </w:tr>
      <w:tr w14:paraId="318E1482">
        <w:tc>
          <w:tcPr>
            <w:tcW w:w="2547" w:type="dxa"/>
            <w:shd w:val="clear" w:color="auto" w:fill="F1F1F1" w:themeFill="background1" w:themeFillShade="F2"/>
          </w:tcPr>
          <w:p w14:paraId="22612A1A">
            <w:pPr>
              <w:pStyle w:val="35"/>
              <w:snapToGrid w:val="0"/>
              <w:spacing w:before="0" w:after="0"/>
              <w:ind w:left="0"/>
              <w:contextualSpacing w:val="0"/>
              <w:rPr>
                <w:highlight w:val="none"/>
                <w:lang w:val="en-US"/>
              </w:rPr>
            </w:pPr>
            <w:r>
              <w:rPr>
                <w:highlight w:val="none"/>
                <w:lang w:val="en-US"/>
              </w:rPr>
              <w:t>Value applied</w:t>
            </w:r>
          </w:p>
        </w:tc>
        <w:tc>
          <w:tcPr>
            <w:tcW w:w="5941" w:type="dxa"/>
          </w:tcPr>
          <w:p w14:paraId="1D0E55AB">
            <w:pPr>
              <w:pStyle w:val="35"/>
              <w:snapToGrid w:val="0"/>
              <w:spacing w:before="0" w:after="0"/>
              <w:ind w:left="0"/>
              <w:contextualSpacing w:val="0"/>
              <w:rPr>
                <w:highlight w:val="none"/>
                <w:lang w:val="en-US"/>
              </w:rPr>
            </w:pPr>
            <w:r>
              <w:rPr>
                <w:highlight w:val="none"/>
                <w:lang w:val="en-US"/>
              </w:rPr>
              <w:t>0,00261</w:t>
            </w:r>
          </w:p>
        </w:tc>
      </w:tr>
      <w:tr w14:paraId="011BD346">
        <w:tc>
          <w:tcPr>
            <w:tcW w:w="2547" w:type="dxa"/>
            <w:shd w:val="clear" w:color="auto" w:fill="F1F1F1" w:themeFill="background1" w:themeFillShade="F2"/>
          </w:tcPr>
          <w:p w14:paraId="31B3B5B8">
            <w:pPr>
              <w:pStyle w:val="35"/>
              <w:snapToGrid w:val="0"/>
              <w:spacing w:before="0" w:after="0"/>
              <w:ind w:left="0"/>
              <w:contextualSpacing w:val="0"/>
              <w:rPr>
                <w:highlight w:val="none"/>
                <w:lang w:val="en-US"/>
              </w:rPr>
            </w:pPr>
            <w:r>
              <w:rPr>
                <w:highlight w:val="none"/>
                <w:lang w:val="en-US"/>
              </w:rPr>
              <w:t>Justification of choice of data or description of measurement methods and procedures applied</w:t>
            </w:r>
          </w:p>
        </w:tc>
        <w:tc>
          <w:tcPr>
            <w:tcW w:w="5941" w:type="dxa"/>
          </w:tcPr>
          <w:p w14:paraId="7AADDC40">
            <w:pPr>
              <w:snapToGrid w:val="0"/>
              <w:spacing w:before="0" w:after="0"/>
              <w:rPr>
                <w:highlight w:val="none"/>
                <w:lang w:val="es-ES"/>
              </w:rPr>
            </w:pPr>
            <w:r>
              <w:rPr>
                <w:rFonts w:eastAsia="Arial"/>
                <w:iCs/>
                <w:highlight w:val="none"/>
                <w:lang w:val="es-ES"/>
              </w:rPr>
              <w:t>Based on dates from the Goverment of Argentina: “</w:t>
            </w:r>
            <w:r>
              <w:rPr>
                <w:highlight w:val="none"/>
              </w:rPr>
              <w:fldChar w:fldCharType="begin"/>
            </w:r>
            <w:r>
              <w:rPr>
                <w:highlight w:val="none"/>
              </w:rPr>
              <w:instrText xml:space="preserve"> HYPERLINK "https://www.energia.gob.ar/contenidos/archivos/Reorganizacion/informacion_del_mercado/mercado_hidrocarburos/mapas/metodologia_huella_CO2_eess.pdf" </w:instrText>
            </w:r>
            <w:r>
              <w:rPr>
                <w:highlight w:val="none"/>
              </w:rPr>
              <w:fldChar w:fldCharType="separate"/>
            </w:r>
            <w:r>
              <w:rPr>
                <w:rStyle w:val="20"/>
                <w:rFonts w:eastAsia="Arial"/>
                <w:iCs/>
                <w:highlight w:val="none"/>
                <w:lang w:val="es-ES"/>
              </w:rPr>
              <w:t>Emisiones de CO</w:t>
            </w:r>
            <w:r>
              <w:rPr>
                <w:rStyle w:val="20"/>
                <w:rFonts w:eastAsia="Arial"/>
                <w:iCs/>
                <w:highlight w:val="none"/>
                <w:vertAlign w:val="subscript"/>
                <w:lang w:val="es-ES"/>
              </w:rPr>
              <w:t>2</w:t>
            </w:r>
            <w:r>
              <w:rPr>
                <w:rStyle w:val="20"/>
                <w:rFonts w:eastAsia="Arial"/>
                <w:iCs/>
                <w:highlight w:val="none"/>
                <w:lang w:val="es-ES"/>
              </w:rPr>
              <w:t xml:space="preserve"> calculadas a partir de las ventas al público de combustibles líquidos en EESS- año 2018</w:t>
            </w:r>
            <w:r>
              <w:rPr>
                <w:rStyle w:val="20"/>
                <w:rFonts w:eastAsia="Arial"/>
                <w:iCs/>
                <w:highlight w:val="none"/>
                <w:lang w:val="es-ES"/>
              </w:rPr>
              <w:fldChar w:fldCharType="end"/>
            </w:r>
            <w:r>
              <w:rPr>
                <w:rFonts w:eastAsia="Arial"/>
                <w:iCs/>
                <w:highlight w:val="none"/>
                <w:lang w:val="es-ES"/>
              </w:rPr>
              <w:t>”</w:t>
            </w:r>
          </w:p>
        </w:tc>
      </w:tr>
      <w:tr w14:paraId="28B60247">
        <w:tc>
          <w:tcPr>
            <w:tcW w:w="2547" w:type="dxa"/>
            <w:shd w:val="clear" w:color="auto" w:fill="F1F1F1" w:themeFill="background1" w:themeFillShade="F2"/>
          </w:tcPr>
          <w:p w14:paraId="591D29DE">
            <w:pPr>
              <w:pStyle w:val="35"/>
              <w:snapToGrid w:val="0"/>
              <w:spacing w:before="0" w:after="0"/>
              <w:ind w:left="0"/>
              <w:contextualSpacing w:val="0"/>
              <w:rPr>
                <w:highlight w:val="none"/>
                <w:lang w:val="en-US"/>
              </w:rPr>
            </w:pPr>
            <w:r>
              <w:rPr>
                <w:highlight w:val="none"/>
                <w:lang w:val="en-US"/>
              </w:rPr>
              <w:t>Purpose of data</w:t>
            </w:r>
          </w:p>
        </w:tc>
        <w:tc>
          <w:tcPr>
            <w:tcW w:w="5941" w:type="dxa"/>
          </w:tcPr>
          <w:p w14:paraId="0ECB8365">
            <w:pPr>
              <w:pStyle w:val="22"/>
              <w:spacing w:before="0" w:beforeAutospacing="0" w:after="0" w:afterAutospacing="0"/>
              <w:rPr>
                <w:rFonts w:ascii="Arial" w:hAnsi="Arial" w:cs="Arial" w:eastAsiaTheme="minorHAnsi"/>
                <w:sz w:val="22"/>
                <w:szCs w:val="22"/>
                <w:highlight w:val="none"/>
                <w:lang w:eastAsia="en-US"/>
              </w:rPr>
            </w:pPr>
            <w:r>
              <w:rPr>
                <w:rFonts w:ascii="Arial" w:hAnsi="Arial" w:cs="Arial" w:eastAsiaTheme="minorHAnsi"/>
                <w:sz w:val="22"/>
                <w:szCs w:val="22"/>
                <w:highlight w:val="none"/>
                <w:lang w:eastAsia="en-US"/>
              </w:rPr>
              <w:t>Determination of the project emissions</w:t>
            </w:r>
          </w:p>
        </w:tc>
      </w:tr>
      <w:tr w14:paraId="1A3B2873">
        <w:tc>
          <w:tcPr>
            <w:tcW w:w="2547" w:type="dxa"/>
            <w:shd w:val="clear" w:color="auto" w:fill="F1F1F1" w:themeFill="background1" w:themeFillShade="F2"/>
          </w:tcPr>
          <w:p w14:paraId="254ADD6D">
            <w:pPr>
              <w:pStyle w:val="35"/>
              <w:snapToGrid w:val="0"/>
              <w:spacing w:before="0" w:after="0"/>
              <w:ind w:left="0"/>
              <w:contextualSpacing w:val="0"/>
              <w:rPr>
                <w:highlight w:val="none"/>
                <w:lang w:val="en-US"/>
              </w:rPr>
            </w:pPr>
            <w:r>
              <w:rPr>
                <w:highlight w:val="none"/>
                <w:lang w:val="en-US"/>
              </w:rPr>
              <w:t>Any comments</w:t>
            </w:r>
          </w:p>
        </w:tc>
        <w:tc>
          <w:tcPr>
            <w:tcW w:w="5941" w:type="dxa"/>
          </w:tcPr>
          <w:p w14:paraId="091BF5C1">
            <w:pPr>
              <w:pStyle w:val="35"/>
              <w:snapToGrid w:val="0"/>
              <w:spacing w:before="0" w:after="0"/>
              <w:ind w:left="0"/>
              <w:contextualSpacing w:val="0"/>
              <w:rPr>
                <w:highlight w:val="none"/>
                <w:lang w:val="en-US"/>
              </w:rPr>
            </w:pPr>
            <w:r>
              <w:rPr>
                <w:highlight w:val="none"/>
                <w:lang w:val="en-US"/>
              </w:rPr>
              <w:t>-</w:t>
            </w:r>
          </w:p>
        </w:tc>
      </w:tr>
    </w:tbl>
    <w:p w14:paraId="25FE051F">
      <w:pPr>
        <w:pStyle w:val="35"/>
        <w:snapToGrid w:val="0"/>
        <w:ind w:left="0"/>
        <w:contextualSpacing w:val="0"/>
        <w:rPr>
          <w:highlight w:val="none"/>
          <w:lang w:val="en-US"/>
        </w:rPr>
      </w:pPr>
    </w:p>
    <w:p w14:paraId="39542E7A">
      <w:pPr>
        <w:pStyle w:val="35"/>
        <w:snapToGrid w:val="0"/>
        <w:spacing w:after="0"/>
        <w:ind w:left="0"/>
        <w:contextualSpacing w:val="0"/>
        <w:rPr>
          <w:highlight w:val="none"/>
          <w:lang w:val="en-US"/>
        </w:rPr>
      </w:pPr>
      <w:r>
        <w:rPr>
          <w:highlight w:val="none"/>
          <w:lang w:val="en-US"/>
        </w:rPr>
        <w:t>Data/Parameter 4</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083"/>
      </w:tblGrid>
      <w:tr w14:paraId="1ACF0B57">
        <w:tc>
          <w:tcPr>
            <w:tcW w:w="2405" w:type="dxa"/>
            <w:shd w:val="clear" w:color="auto" w:fill="F1F1F1" w:themeFill="background1" w:themeFillShade="F2"/>
          </w:tcPr>
          <w:p w14:paraId="792C6C63">
            <w:pPr>
              <w:pStyle w:val="35"/>
              <w:snapToGrid w:val="0"/>
              <w:spacing w:before="0" w:after="0"/>
              <w:ind w:left="0"/>
              <w:contextualSpacing w:val="0"/>
              <w:rPr>
                <w:highlight w:val="none"/>
                <w:lang w:val="en-US"/>
              </w:rPr>
            </w:pPr>
            <w:r>
              <w:rPr>
                <w:highlight w:val="none"/>
                <w:lang w:val="en-US"/>
              </w:rPr>
              <w:t>Data/Parameter</w:t>
            </w:r>
          </w:p>
        </w:tc>
        <w:tc>
          <w:tcPr>
            <w:tcW w:w="6083" w:type="dxa"/>
          </w:tcPr>
          <w:p w14:paraId="0AFC73BF">
            <w:pPr>
              <w:spacing w:before="0" w:after="0"/>
              <w:rPr>
                <w:b/>
                <w:bCs/>
                <w:i/>
                <w:iCs/>
                <w:highlight w:val="none"/>
                <w:lang w:val="en-US"/>
              </w:rPr>
            </w:pPr>
            <w:r>
              <w:rPr>
                <w:rFonts w:ascii="Cambria Math" w:hAnsi="Cambria Math" w:cs="Cambria Math"/>
                <w:b/>
                <w:i/>
                <w:iCs/>
                <w:highlight w:val="none"/>
              </w:rPr>
              <w:t>𝐸𝐹</w:t>
            </w:r>
            <w:r>
              <w:rPr>
                <w:rFonts w:hint="default" w:ascii="Cambria Math" w:hAnsi="Cambria Math" w:cs="Cambria Math"/>
                <w:b/>
                <w:i/>
                <w:iCs/>
                <w:highlight w:val="none"/>
                <w:lang w:val="es-ES"/>
              </w:rPr>
              <w:t xml:space="preserve">  </w:t>
            </w:r>
            <w:r>
              <w:rPr>
                <w:b/>
                <w:i/>
                <w:iCs/>
                <w:highlight w:val="none"/>
                <w:vertAlign w:val="subscript"/>
              </w:rPr>
              <w:t>CH4</w:t>
            </w:r>
            <w:r>
              <w:rPr>
                <w:b/>
                <w:i/>
                <w:iCs/>
                <w:highlight w:val="none"/>
                <w:vertAlign w:val="subscript"/>
                <w:lang w:val="en-US"/>
              </w:rPr>
              <w:t>,y</w:t>
            </w:r>
          </w:p>
        </w:tc>
      </w:tr>
      <w:tr w14:paraId="4D122801">
        <w:tc>
          <w:tcPr>
            <w:tcW w:w="2405" w:type="dxa"/>
            <w:shd w:val="clear" w:color="auto" w:fill="F1F1F1" w:themeFill="background1" w:themeFillShade="F2"/>
          </w:tcPr>
          <w:p w14:paraId="6449EC0E">
            <w:pPr>
              <w:pStyle w:val="35"/>
              <w:snapToGrid w:val="0"/>
              <w:spacing w:before="0" w:after="0"/>
              <w:ind w:left="0"/>
              <w:contextualSpacing w:val="0"/>
              <w:rPr>
                <w:highlight w:val="none"/>
                <w:lang w:val="en-US"/>
              </w:rPr>
            </w:pPr>
            <w:r>
              <w:rPr>
                <w:highlight w:val="none"/>
                <w:lang w:val="en-US"/>
              </w:rPr>
              <w:t>Data unit</w:t>
            </w:r>
          </w:p>
        </w:tc>
        <w:tc>
          <w:tcPr>
            <w:tcW w:w="6083" w:type="dxa"/>
          </w:tcPr>
          <w:p w14:paraId="79BAB77E">
            <w:pPr>
              <w:pStyle w:val="35"/>
              <w:snapToGrid w:val="0"/>
              <w:spacing w:before="0" w:after="0"/>
              <w:ind w:left="0"/>
              <w:contextualSpacing w:val="0"/>
              <w:rPr>
                <w:bCs/>
                <w:highlight w:val="none"/>
                <w:lang w:val="en-US"/>
              </w:rPr>
            </w:pPr>
            <w:r>
              <w:rPr>
                <w:bCs/>
                <w:i/>
                <w:iCs/>
                <w:highlight w:val="none"/>
                <w:lang w:val="en-US"/>
              </w:rPr>
              <w:t>t CH</w:t>
            </w:r>
            <w:r>
              <w:rPr>
                <w:bCs/>
                <w:i/>
                <w:iCs/>
                <w:highlight w:val="none"/>
                <w:vertAlign w:val="subscript"/>
                <w:lang w:val="en-US"/>
              </w:rPr>
              <w:t>4</w:t>
            </w:r>
            <w:r>
              <w:rPr>
                <w:bCs/>
                <w:i/>
                <w:iCs/>
                <w:highlight w:val="none"/>
                <w:lang w:val="en-US"/>
              </w:rPr>
              <w:t xml:space="preserve"> / t</w:t>
            </w:r>
          </w:p>
        </w:tc>
      </w:tr>
      <w:tr w14:paraId="1F48A85A">
        <w:tc>
          <w:tcPr>
            <w:tcW w:w="2405" w:type="dxa"/>
            <w:shd w:val="clear" w:color="auto" w:fill="F1F1F1" w:themeFill="background1" w:themeFillShade="F2"/>
          </w:tcPr>
          <w:p w14:paraId="4CC7ADCE">
            <w:pPr>
              <w:pStyle w:val="35"/>
              <w:snapToGrid w:val="0"/>
              <w:spacing w:before="0" w:after="0"/>
              <w:ind w:left="0"/>
              <w:contextualSpacing w:val="0"/>
              <w:rPr>
                <w:highlight w:val="none"/>
                <w:lang w:val="en-US"/>
              </w:rPr>
            </w:pPr>
            <w:r>
              <w:rPr>
                <w:highlight w:val="none"/>
                <w:lang w:val="en-US"/>
              </w:rPr>
              <w:t>Description</w:t>
            </w:r>
          </w:p>
        </w:tc>
        <w:tc>
          <w:tcPr>
            <w:tcW w:w="6083" w:type="dxa"/>
          </w:tcPr>
          <w:p w14:paraId="56D591EC">
            <w:pPr>
              <w:snapToGrid w:val="0"/>
              <w:spacing w:before="0" w:after="0"/>
              <w:rPr>
                <w:bCs/>
                <w:highlight w:val="none"/>
                <w:lang w:val="en-US"/>
              </w:rPr>
            </w:pPr>
            <w:r>
              <w:rPr>
                <w:bCs/>
                <w:highlight w:val="none"/>
                <w:lang w:val="en-US"/>
              </w:rPr>
              <w:t>Emission factor of methane per tonne of waste composted valid for</w:t>
            </w:r>
          </w:p>
          <w:p w14:paraId="4BE61F05">
            <w:pPr>
              <w:snapToGrid w:val="0"/>
              <w:spacing w:before="0" w:after="0"/>
              <w:rPr>
                <w:bCs/>
                <w:highlight w:val="none"/>
                <w:lang w:val="en-US"/>
              </w:rPr>
            </w:pPr>
            <w:r>
              <w:rPr>
                <w:bCs/>
                <w:highlight w:val="none"/>
              </w:rPr>
              <w:t xml:space="preserve">year </w:t>
            </w:r>
            <w:r>
              <w:rPr>
                <w:bCs/>
                <w:i/>
                <w:iCs/>
                <w:highlight w:val="none"/>
              </w:rPr>
              <w:t>y</w:t>
            </w:r>
          </w:p>
        </w:tc>
      </w:tr>
      <w:tr w14:paraId="55C105FF">
        <w:tc>
          <w:tcPr>
            <w:tcW w:w="2405" w:type="dxa"/>
            <w:shd w:val="clear" w:color="auto" w:fill="F1F1F1" w:themeFill="background1" w:themeFillShade="F2"/>
          </w:tcPr>
          <w:p w14:paraId="1AE10E85">
            <w:pPr>
              <w:pStyle w:val="35"/>
              <w:snapToGrid w:val="0"/>
              <w:spacing w:before="0" w:after="0"/>
              <w:ind w:left="0"/>
              <w:contextualSpacing w:val="0"/>
              <w:rPr>
                <w:highlight w:val="none"/>
                <w:lang w:val="en-US"/>
              </w:rPr>
            </w:pPr>
            <w:r>
              <w:rPr>
                <w:highlight w:val="none"/>
                <w:lang w:val="en-US"/>
              </w:rPr>
              <w:t>Source data</w:t>
            </w:r>
          </w:p>
        </w:tc>
        <w:tc>
          <w:tcPr>
            <w:tcW w:w="6083" w:type="dxa"/>
          </w:tcPr>
          <w:p w14:paraId="6EA9C3C4">
            <w:pPr>
              <w:snapToGrid w:val="0"/>
              <w:spacing w:before="0" w:after="0"/>
              <w:rPr>
                <w:highlight w:val="none"/>
                <w:lang w:val="en-US"/>
              </w:rPr>
            </w:pPr>
            <w:r>
              <w:rPr>
                <w:highlight w:val="none"/>
                <w:lang w:val="en-US"/>
              </w:rPr>
              <w:t>Methodological tool 13 “Project and leakage amissions from composting” version 2.0.</w:t>
            </w:r>
          </w:p>
        </w:tc>
      </w:tr>
      <w:tr w14:paraId="0B3A1A94">
        <w:tc>
          <w:tcPr>
            <w:tcW w:w="2405" w:type="dxa"/>
            <w:shd w:val="clear" w:color="auto" w:fill="F1F1F1" w:themeFill="background1" w:themeFillShade="F2"/>
          </w:tcPr>
          <w:p w14:paraId="71731684">
            <w:pPr>
              <w:pStyle w:val="35"/>
              <w:snapToGrid w:val="0"/>
              <w:spacing w:before="0" w:after="0"/>
              <w:ind w:left="0"/>
              <w:contextualSpacing w:val="0"/>
              <w:rPr>
                <w:highlight w:val="none"/>
                <w:lang w:val="en-US"/>
              </w:rPr>
            </w:pPr>
            <w:r>
              <w:rPr>
                <w:highlight w:val="none"/>
                <w:lang w:val="en-US"/>
              </w:rPr>
              <w:t>Value applied</w:t>
            </w:r>
          </w:p>
        </w:tc>
        <w:tc>
          <w:tcPr>
            <w:tcW w:w="6083" w:type="dxa"/>
          </w:tcPr>
          <w:p w14:paraId="7392329E">
            <w:pPr>
              <w:pStyle w:val="35"/>
              <w:snapToGrid w:val="0"/>
              <w:spacing w:before="0" w:after="0"/>
              <w:ind w:left="0"/>
              <w:contextualSpacing w:val="0"/>
              <w:rPr>
                <w:highlight w:val="none"/>
                <w:lang w:val="en-US"/>
              </w:rPr>
            </w:pPr>
            <w:r>
              <w:rPr>
                <w:highlight w:val="none"/>
              </w:rPr>
              <w:t>0,002</w:t>
            </w:r>
          </w:p>
        </w:tc>
      </w:tr>
      <w:tr w14:paraId="2B43B2F5">
        <w:trPr>
          <w:trHeight w:val="78" w:hRule="atLeast"/>
        </w:trPr>
        <w:tc>
          <w:tcPr>
            <w:tcW w:w="2405" w:type="dxa"/>
            <w:shd w:val="clear" w:color="auto" w:fill="F1F1F1" w:themeFill="background1" w:themeFillShade="F2"/>
          </w:tcPr>
          <w:p w14:paraId="6E364B59">
            <w:pPr>
              <w:pStyle w:val="35"/>
              <w:snapToGrid w:val="0"/>
              <w:spacing w:before="0" w:after="0"/>
              <w:ind w:left="0"/>
              <w:contextualSpacing w:val="0"/>
              <w:rPr>
                <w:highlight w:val="none"/>
                <w:lang w:val="en-US"/>
              </w:rPr>
            </w:pPr>
            <w:r>
              <w:rPr>
                <w:highlight w:val="none"/>
                <w:lang w:val="en-US"/>
              </w:rPr>
              <w:t>Justification of choice of data or description of measurement methods and procedures applied</w:t>
            </w:r>
          </w:p>
        </w:tc>
        <w:tc>
          <w:tcPr>
            <w:tcW w:w="6083" w:type="dxa"/>
          </w:tcPr>
          <w:p w14:paraId="6B0F0F60">
            <w:pPr>
              <w:spacing w:before="0" w:after="0"/>
              <w:rPr>
                <w:bCs/>
                <w:highlight w:val="none"/>
                <w:lang w:val="en-US"/>
              </w:rPr>
            </w:pPr>
            <w:r>
              <w:rPr>
                <w:bCs/>
                <w:highlight w:val="none"/>
                <w:lang w:val="en-US"/>
              </w:rPr>
              <w:t>As per table 2, page 11 from the tool, EF</w:t>
            </w:r>
            <w:r>
              <w:rPr>
                <w:bCs/>
                <w:highlight w:val="none"/>
                <w:vertAlign w:val="subscript"/>
                <w:lang w:val="en-US"/>
              </w:rPr>
              <w:t>CO4,y</w:t>
            </w:r>
            <w:r>
              <w:rPr>
                <w:bCs/>
                <w:highlight w:val="none"/>
                <w:lang w:val="en-US"/>
              </w:rPr>
              <w:t xml:space="preserve"> (option 2) is a default value. The emission factor was selected based on studying published results of emission measurements from composting facilities, literature reviews on the subject and published emission factors. Data from recent, high quality sources was analyzed and a value conservatively selected from the higher end of the range in results.</w:t>
            </w:r>
          </w:p>
        </w:tc>
      </w:tr>
      <w:tr w14:paraId="64125BC7">
        <w:tc>
          <w:tcPr>
            <w:tcW w:w="2405" w:type="dxa"/>
            <w:shd w:val="clear" w:color="auto" w:fill="F1F1F1" w:themeFill="background1" w:themeFillShade="F2"/>
          </w:tcPr>
          <w:p w14:paraId="30C341AD">
            <w:pPr>
              <w:pStyle w:val="35"/>
              <w:snapToGrid w:val="0"/>
              <w:spacing w:before="0" w:after="0"/>
              <w:ind w:left="0"/>
              <w:contextualSpacing w:val="0"/>
              <w:rPr>
                <w:highlight w:val="none"/>
                <w:lang w:val="en-US"/>
              </w:rPr>
            </w:pPr>
            <w:r>
              <w:rPr>
                <w:highlight w:val="none"/>
                <w:lang w:val="en-US"/>
              </w:rPr>
              <w:t>Purpose of data</w:t>
            </w:r>
          </w:p>
        </w:tc>
        <w:tc>
          <w:tcPr>
            <w:tcW w:w="6083" w:type="dxa"/>
          </w:tcPr>
          <w:p w14:paraId="29278632">
            <w:pPr>
              <w:pStyle w:val="22"/>
              <w:spacing w:before="0" w:beforeAutospacing="0" w:after="0" w:afterAutospacing="0"/>
              <w:rPr>
                <w:rFonts w:ascii="Arial" w:hAnsi="Arial" w:cs="Arial" w:eastAsiaTheme="minorHAnsi"/>
                <w:sz w:val="22"/>
                <w:szCs w:val="22"/>
                <w:highlight w:val="none"/>
                <w:lang w:eastAsia="en-US"/>
              </w:rPr>
            </w:pPr>
            <w:r>
              <w:rPr>
                <w:rFonts w:ascii="Arial" w:hAnsi="Arial" w:cs="Arial" w:eastAsiaTheme="minorHAnsi"/>
                <w:sz w:val="22"/>
                <w:szCs w:val="22"/>
                <w:highlight w:val="none"/>
                <w:lang w:eastAsia="en-US"/>
              </w:rPr>
              <w:t>Determination of the project emissions.</w:t>
            </w:r>
          </w:p>
        </w:tc>
      </w:tr>
      <w:tr w14:paraId="60784D40">
        <w:tc>
          <w:tcPr>
            <w:tcW w:w="2405" w:type="dxa"/>
            <w:shd w:val="clear" w:color="auto" w:fill="F1F1F1" w:themeFill="background1" w:themeFillShade="F2"/>
          </w:tcPr>
          <w:p w14:paraId="54D2BA93">
            <w:pPr>
              <w:pStyle w:val="35"/>
              <w:snapToGrid w:val="0"/>
              <w:spacing w:before="0" w:after="0"/>
              <w:ind w:left="0"/>
              <w:contextualSpacing w:val="0"/>
              <w:rPr>
                <w:highlight w:val="none"/>
                <w:lang w:val="en-US"/>
              </w:rPr>
            </w:pPr>
            <w:r>
              <w:rPr>
                <w:highlight w:val="none"/>
                <w:lang w:val="en-US"/>
              </w:rPr>
              <w:t>Any comments</w:t>
            </w:r>
          </w:p>
        </w:tc>
        <w:tc>
          <w:tcPr>
            <w:tcW w:w="6083" w:type="dxa"/>
          </w:tcPr>
          <w:p w14:paraId="74AEBDE1">
            <w:pPr>
              <w:pStyle w:val="35"/>
              <w:snapToGrid w:val="0"/>
              <w:spacing w:before="0" w:after="0"/>
              <w:ind w:left="0"/>
              <w:contextualSpacing w:val="0"/>
              <w:rPr>
                <w:highlight w:val="none"/>
                <w:lang w:val="en-US"/>
              </w:rPr>
            </w:pPr>
            <w:r>
              <w:rPr>
                <w:highlight w:val="none"/>
                <w:lang w:val="en-US"/>
              </w:rPr>
              <w:t>-</w:t>
            </w:r>
          </w:p>
        </w:tc>
      </w:tr>
    </w:tbl>
    <w:p w14:paraId="69D18975">
      <w:pPr>
        <w:pStyle w:val="35"/>
        <w:snapToGrid w:val="0"/>
        <w:ind w:left="0"/>
        <w:contextualSpacing w:val="0"/>
        <w:rPr>
          <w:highlight w:val="none"/>
          <w:lang w:val="en-US"/>
        </w:rPr>
      </w:pPr>
    </w:p>
    <w:p w14:paraId="4C1B76DE">
      <w:pPr>
        <w:pStyle w:val="35"/>
        <w:snapToGrid w:val="0"/>
        <w:spacing w:after="0"/>
        <w:ind w:left="0"/>
        <w:contextualSpacing w:val="0"/>
        <w:rPr>
          <w:highlight w:val="none"/>
          <w:lang w:val="en-US"/>
        </w:rPr>
      </w:pPr>
      <w:r>
        <w:rPr>
          <w:highlight w:val="none"/>
          <w:lang w:val="en-US"/>
        </w:rPr>
        <w:t>Data/Parameter 5</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083"/>
      </w:tblGrid>
      <w:tr w14:paraId="7BF3FB0A">
        <w:tc>
          <w:tcPr>
            <w:tcW w:w="2405" w:type="dxa"/>
            <w:shd w:val="clear" w:color="auto" w:fill="F1F1F1" w:themeFill="background1" w:themeFillShade="F2"/>
          </w:tcPr>
          <w:p w14:paraId="3B697DA1">
            <w:pPr>
              <w:pStyle w:val="35"/>
              <w:snapToGrid w:val="0"/>
              <w:spacing w:before="0" w:after="0"/>
              <w:ind w:left="0"/>
              <w:contextualSpacing w:val="0"/>
              <w:rPr>
                <w:highlight w:val="none"/>
                <w:lang w:val="en-US"/>
              </w:rPr>
            </w:pPr>
            <w:r>
              <w:rPr>
                <w:highlight w:val="none"/>
                <w:lang w:val="en-US"/>
              </w:rPr>
              <w:t>Data/Parameter</w:t>
            </w:r>
          </w:p>
        </w:tc>
        <w:tc>
          <w:tcPr>
            <w:tcW w:w="6083" w:type="dxa"/>
          </w:tcPr>
          <w:p w14:paraId="15B9FB23">
            <w:pPr>
              <w:spacing w:before="0" w:after="0"/>
              <w:rPr>
                <w:b/>
                <w:bCs/>
                <w:i/>
                <w:iCs/>
                <w:highlight w:val="none"/>
                <w:lang w:val="en-US"/>
              </w:rPr>
            </w:pPr>
            <w:r>
              <w:rPr>
                <w:rFonts w:ascii="Cambria Math" w:hAnsi="Cambria Math" w:cs="Cambria Math"/>
                <w:b/>
                <w:i/>
                <w:iCs/>
                <w:highlight w:val="none"/>
              </w:rPr>
              <w:t>𝐸𝐹</w:t>
            </w:r>
            <w:r>
              <w:rPr>
                <w:rFonts w:hint="default" w:ascii="Cambria Math" w:hAnsi="Cambria Math" w:cs="Cambria Math"/>
                <w:b/>
                <w:i/>
                <w:iCs/>
                <w:highlight w:val="none"/>
                <w:lang w:val="es-ES"/>
              </w:rPr>
              <w:t xml:space="preserve">   </w:t>
            </w:r>
            <w:r>
              <w:rPr>
                <w:b/>
                <w:i/>
                <w:iCs/>
                <w:highlight w:val="none"/>
                <w:vertAlign w:val="subscript"/>
              </w:rPr>
              <w:t>N2O</w:t>
            </w:r>
            <w:r>
              <w:rPr>
                <w:b/>
                <w:i/>
                <w:iCs/>
                <w:highlight w:val="none"/>
                <w:vertAlign w:val="subscript"/>
                <w:lang w:val="en-US"/>
              </w:rPr>
              <w:t>,y</w:t>
            </w:r>
          </w:p>
        </w:tc>
      </w:tr>
      <w:tr w14:paraId="46948F80">
        <w:tc>
          <w:tcPr>
            <w:tcW w:w="2405" w:type="dxa"/>
            <w:shd w:val="clear" w:color="auto" w:fill="F1F1F1" w:themeFill="background1" w:themeFillShade="F2"/>
          </w:tcPr>
          <w:p w14:paraId="53E93801">
            <w:pPr>
              <w:pStyle w:val="35"/>
              <w:snapToGrid w:val="0"/>
              <w:spacing w:before="0" w:after="0"/>
              <w:ind w:left="0"/>
              <w:contextualSpacing w:val="0"/>
              <w:rPr>
                <w:highlight w:val="none"/>
                <w:lang w:val="en-US"/>
              </w:rPr>
            </w:pPr>
            <w:r>
              <w:rPr>
                <w:highlight w:val="none"/>
                <w:lang w:val="en-US"/>
              </w:rPr>
              <w:t>Data unit</w:t>
            </w:r>
          </w:p>
        </w:tc>
        <w:tc>
          <w:tcPr>
            <w:tcW w:w="6083" w:type="dxa"/>
          </w:tcPr>
          <w:p w14:paraId="4744930A">
            <w:pPr>
              <w:pStyle w:val="35"/>
              <w:snapToGrid w:val="0"/>
              <w:spacing w:before="0" w:after="0"/>
              <w:ind w:left="0"/>
              <w:contextualSpacing w:val="0"/>
              <w:rPr>
                <w:bCs/>
                <w:highlight w:val="none"/>
                <w:lang w:val="en-US"/>
              </w:rPr>
            </w:pPr>
            <w:r>
              <w:rPr>
                <w:bCs/>
                <w:i/>
                <w:iCs/>
                <w:highlight w:val="none"/>
                <w:lang w:val="en-US"/>
              </w:rPr>
              <w:t>t N</w:t>
            </w:r>
            <w:r>
              <w:rPr>
                <w:bCs/>
                <w:i/>
                <w:iCs/>
                <w:highlight w:val="none"/>
                <w:vertAlign w:val="subscript"/>
                <w:lang w:val="en-US"/>
              </w:rPr>
              <w:t>2</w:t>
            </w:r>
            <w:r>
              <w:rPr>
                <w:bCs/>
                <w:i/>
                <w:iCs/>
                <w:highlight w:val="none"/>
                <w:lang w:val="en-US"/>
              </w:rPr>
              <w:t>O/ t</w:t>
            </w:r>
          </w:p>
        </w:tc>
      </w:tr>
      <w:tr w14:paraId="1301EEC4">
        <w:tc>
          <w:tcPr>
            <w:tcW w:w="2405" w:type="dxa"/>
            <w:shd w:val="clear" w:color="auto" w:fill="F1F1F1" w:themeFill="background1" w:themeFillShade="F2"/>
          </w:tcPr>
          <w:p w14:paraId="24340DC9">
            <w:pPr>
              <w:pStyle w:val="35"/>
              <w:snapToGrid w:val="0"/>
              <w:spacing w:before="0" w:after="0"/>
              <w:ind w:left="0"/>
              <w:contextualSpacing w:val="0"/>
              <w:rPr>
                <w:highlight w:val="none"/>
                <w:lang w:val="en-US"/>
              </w:rPr>
            </w:pPr>
            <w:r>
              <w:rPr>
                <w:highlight w:val="none"/>
                <w:lang w:val="en-US"/>
              </w:rPr>
              <w:t>Description</w:t>
            </w:r>
          </w:p>
        </w:tc>
        <w:tc>
          <w:tcPr>
            <w:tcW w:w="6083" w:type="dxa"/>
          </w:tcPr>
          <w:p w14:paraId="404E6B91">
            <w:pPr>
              <w:snapToGrid w:val="0"/>
              <w:spacing w:before="0" w:after="0"/>
              <w:rPr>
                <w:bCs/>
                <w:highlight w:val="none"/>
                <w:lang w:val="en-US"/>
              </w:rPr>
            </w:pPr>
            <w:r>
              <w:rPr>
                <w:bCs/>
                <w:highlight w:val="none"/>
                <w:lang w:val="en-US"/>
              </w:rPr>
              <w:t xml:space="preserve">Emission factor of nitrous oxide per tonne of waste composted valid for year </w:t>
            </w:r>
            <w:r>
              <w:rPr>
                <w:bCs/>
                <w:i/>
                <w:iCs/>
                <w:highlight w:val="none"/>
                <w:lang w:val="en-US"/>
              </w:rPr>
              <w:t>y</w:t>
            </w:r>
          </w:p>
        </w:tc>
      </w:tr>
      <w:tr w14:paraId="14CCC787">
        <w:tc>
          <w:tcPr>
            <w:tcW w:w="2405" w:type="dxa"/>
            <w:shd w:val="clear" w:color="auto" w:fill="F1F1F1" w:themeFill="background1" w:themeFillShade="F2"/>
          </w:tcPr>
          <w:p w14:paraId="329B3EB8">
            <w:pPr>
              <w:pStyle w:val="35"/>
              <w:snapToGrid w:val="0"/>
              <w:spacing w:before="0" w:after="0"/>
              <w:ind w:left="0"/>
              <w:contextualSpacing w:val="0"/>
              <w:rPr>
                <w:highlight w:val="none"/>
                <w:lang w:val="en-US"/>
              </w:rPr>
            </w:pPr>
            <w:r>
              <w:rPr>
                <w:highlight w:val="none"/>
                <w:lang w:val="en-US"/>
              </w:rPr>
              <w:t>Source data</w:t>
            </w:r>
          </w:p>
        </w:tc>
        <w:tc>
          <w:tcPr>
            <w:tcW w:w="6083" w:type="dxa"/>
          </w:tcPr>
          <w:p w14:paraId="07EC02F5">
            <w:pPr>
              <w:snapToGrid w:val="0"/>
              <w:spacing w:before="0" w:after="0"/>
              <w:rPr>
                <w:highlight w:val="none"/>
                <w:lang w:val="en-US"/>
              </w:rPr>
            </w:pPr>
            <w:r>
              <w:rPr>
                <w:highlight w:val="none"/>
                <w:lang w:val="en-US"/>
              </w:rPr>
              <w:t>Methodological tool 13 “Project and leakage amissions from composting” version 2.0.</w:t>
            </w:r>
          </w:p>
        </w:tc>
      </w:tr>
      <w:tr w14:paraId="33B0D5B6">
        <w:tc>
          <w:tcPr>
            <w:tcW w:w="2405" w:type="dxa"/>
            <w:shd w:val="clear" w:color="auto" w:fill="F1F1F1" w:themeFill="background1" w:themeFillShade="F2"/>
          </w:tcPr>
          <w:p w14:paraId="0ACEABC7">
            <w:pPr>
              <w:pStyle w:val="35"/>
              <w:snapToGrid w:val="0"/>
              <w:spacing w:before="0" w:after="0"/>
              <w:ind w:left="0"/>
              <w:contextualSpacing w:val="0"/>
              <w:rPr>
                <w:highlight w:val="none"/>
                <w:lang w:val="en-US"/>
              </w:rPr>
            </w:pPr>
            <w:r>
              <w:rPr>
                <w:highlight w:val="none"/>
                <w:lang w:val="en-US"/>
              </w:rPr>
              <w:t>Value applied</w:t>
            </w:r>
          </w:p>
        </w:tc>
        <w:tc>
          <w:tcPr>
            <w:tcW w:w="6083" w:type="dxa"/>
          </w:tcPr>
          <w:p w14:paraId="689CD9EE">
            <w:pPr>
              <w:pStyle w:val="35"/>
              <w:snapToGrid w:val="0"/>
              <w:spacing w:before="0" w:after="0"/>
              <w:ind w:left="0"/>
              <w:contextualSpacing w:val="0"/>
              <w:rPr>
                <w:highlight w:val="none"/>
                <w:lang w:val="en-US"/>
              </w:rPr>
            </w:pPr>
            <w:r>
              <w:rPr>
                <w:highlight w:val="none"/>
              </w:rPr>
              <w:t>0,0002</w:t>
            </w:r>
          </w:p>
        </w:tc>
      </w:tr>
      <w:tr w14:paraId="5C3E7C7A">
        <w:tc>
          <w:tcPr>
            <w:tcW w:w="2405" w:type="dxa"/>
            <w:shd w:val="clear" w:color="auto" w:fill="F1F1F1" w:themeFill="background1" w:themeFillShade="F2"/>
          </w:tcPr>
          <w:p w14:paraId="748AD63C">
            <w:pPr>
              <w:pStyle w:val="35"/>
              <w:snapToGrid w:val="0"/>
              <w:spacing w:before="0" w:after="0"/>
              <w:ind w:left="0"/>
              <w:contextualSpacing w:val="0"/>
              <w:rPr>
                <w:highlight w:val="none"/>
                <w:lang w:val="en-US"/>
              </w:rPr>
            </w:pPr>
            <w:r>
              <w:rPr>
                <w:highlight w:val="none"/>
                <w:lang w:val="en-US"/>
              </w:rPr>
              <w:t>Justification of choice of data or description of measurement methods and procedures applied</w:t>
            </w:r>
          </w:p>
        </w:tc>
        <w:tc>
          <w:tcPr>
            <w:tcW w:w="6083" w:type="dxa"/>
          </w:tcPr>
          <w:p w14:paraId="3823FA33">
            <w:pPr>
              <w:rPr>
                <w:bCs/>
                <w:highlight w:val="none"/>
                <w:lang w:val="en-US"/>
              </w:rPr>
            </w:pPr>
            <w:r>
              <w:rPr>
                <w:bCs/>
                <w:highlight w:val="none"/>
                <w:lang w:val="en-US"/>
              </w:rPr>
              <w:t>As per table 3, page 12 from the tool, EF</w:t>
            </w:r>
            <w:r>
              <w:rPr>
                <w:bCs/>
                <w:highlight w:val="none"/>
                <w:vertAlign w:val="subscript"/>
                <w:lang w:val="en-US"/>
              </w:rPr>
              <w:t>N2O,y</w:t>
            </w:r>
            <w:r>
              <w:rPr>
                <w:bCs/>
                <w:highlight w:val="none"/>
                <w:lang w:val="en-US"/>
              </w:rPr>
              <w:t xml:space="preserve"> (option 2) is a default value. The emission factor was selected based on studying published results of emission measurements from composting facilities, literature reviews on the subject and published emission factors. Data from recent, high-quality sources was analyzed and a value conservatively selected from the higher end of the range in results.</w:t>
            </w:r>
          </w:p>
        </w:tc>
      </w:tr>
      <w:tr w14:paraId="0DA65561">
        <w:tc>
          <w:tcPr>
            <w:tcW w:w="2405" w:type="dxa"/>
            <w:shd w:val="clear" w:color="auto" w:fill="F1F1F1" w:themeFill="background1" w:themeFillShade="F2"/>
          </w:tcPr>
          <w:p w14:paraId="006EC717">
            <w:pPr>
              <w:pStyle w:val="35"/>
              <w:snapToGrid w:val="0"/>
              <w:spacing w:before="0" w:after="0"/>
              <w:ind w:left="0"/>
              <w:contextualSpacing w:val="0"/>
              <w:rPr>
                <w:highlight w:val="none"/>
                <w:lang w:val="en-US"/>
              </w:rPr>
            </w:pPr>
            <w:r>
              <w:rPr>
                <w:highlight w:val="none"/>
                <w:lang w:val="en-US"/>
              </w:rPr>
              <w:t>Purpose of data</w:t>
            </w:r>
          </w:p>
        </w:tc>
        <w:tc>
          <w:tcPr>
            <w:tcW w:w="6083" w:type="dxa"/>
          </w:tcPr>
          <w:p w14:paraId="04C79D29">
            <w:pPr>
              <w:pStyle w:val="22"/>
              <w:spacing w:before="0" w:beforeAutospacing="0" w:after="0" w:afterAutospacing="0"/>
              <w:rPr>
                <w:rFonts w:ascii="Arial" w:hAnsi="Arial" w:cs="Arial" w:eastAsiaTheme="minorHAnsi"/>
                <w:sz w:val="22"/>
                <w:szCs w:val="22"/>
                <w:highlight w:val="none"/>
                <w:lang w:eastAsia="en-US"/>
              </w:rPr>
            </w:pPr>
            <w:r>
              <w:rPr>
                <w:rFonts w:ascii="Arial" w:hAnsi="Arial" w:cs="Arial" w:eastAsiaTheme="minorHAnsi"/>
                <w:sz w:val="22"/>
                <w:szCs w:val="22"/>
                <w:highlight w:val="none"/>
                <w:lang w:eastAsia="en-US"/>
              </w:rPr>
              <w:t>Determination of the project emissions.</w:t>
            </w:r>
          </w:p>
        </w:tc>
      </w:tr>
      <w:tr w14:paraId="3B2F746E">
        <w:tc>
          <w:tcPr>
            <w:tcW w:w="2405" w:type="dxa"/>
            <w:shd w:val="clear" w:color="auto" w:fill="F1F1F1" w:themeFill="background1" w:themeFillShade="F2"/>
          </w:tcPr>
          <w:p w14:paraId="07D97B4E">
            <w:pPr>
              <w:pStyle w:val="35"/>
              <w:snapToGrid w:val="0"/>
              <w:spacing w:before="0" w:after="0"/>
              <w:ind w:left="0"/>
              <w:contextualSpacing w:val="0"/>
              <w:rPr>
                <w:highlight w:val="none"/>
                <w:lang w:val="en-US"/>
              </w:rPr>
            </w:pPr>
            <w:r>
              <w:rPr>
                <w:highlight w:val="none"/>
                <w:lang w:val="en-US"/>
              </w:rPr>
              <w:t>Any comments</w:t>
            </w:r>
          </w:p>
        </w:tc>
        <w:tc>
          <w:tcPr>
            <w:tcW w:w="6083" w:type="dxa"/>
          </w:tcPr>
          <w:p w14:paraId="501DD9EA">
            <w:pPr>
              <w:pStyle w:val="35"/>
              <w:snapToGrid w:val="0"/>
              <w:spacing w:before="0" w:after="0"/>
              <w:ind w:left="0"/>
              <w:contextualSpacing w:val="0"/>
              <w:rPr>
                <w:highlight w:val="none"/>
                <w:lang w:val="en-US"/>
              </w:rPr>
            </w:pPr>
            <w:r>
              <w:rPr>
                <w:highlight w:val="none"/>
                <w:lang w:val="en-US"/>
              </w:rPr>
              <w:t>-</w:t>
            </w:r>
          </w:p>
        </w:tc>
      </w:tr>
    </w:tbl>
    <w:p w14:paraId="1039BC6B">
      <w:pPr>
        <w:pStyle w:val="35"/>
        <w:snapToGrid w:val="0"/>
        <w:ind w:left="0"/>
        <w:contextualSpacing w:val="0"/>
        <w:rPr>
          <w:highlight w:val="none"/>
          <w:lang w:val="en-US"/>
        </w:rPr>
      </w:pPr>
    </w:p>
    <w:p w14:paraId="31A13BAF">
      <w:pPr>
        <w:pStyle w:val="35"/>
        <w:snapToGrid w:val="0"/>
        <w:spacing w:after="0"/>
        <w:ind w:left="0"/>
        <w:contextualSpacing w:val="0"/>
        <w:rPr>
          <w:rFonts w:hint="default"/>
          <w:highlight w:val="none"/>
          <w:lang w:val="es-ES"/>
        </w:rPr>
      </w:pPr>
      <w:r>
        <w:rPr>
          <w:highlight w:val="none"/>
          <w:lang w:val="en-US"/>
        </w:rPr>
        <w:t xml:space="preserve">Data/Parameter </w:t>
      </w:r>
      <w:r>
        <w:rPr>
          <w:rFonts w:hint="default"/>
          <w:highlight w:val="none"/>
          <w:lang w:val="es-ES"/>
        </w:rPr>
        <w:t>6</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083"/>
      </w:tblGrid>
      <w:tr w14:paraId="7AAB831C">
        <w:tc>
          <w:tcPr>
            <w:tcW w:w="2405" w:type="dxa"/>
            <w:shd w:val="clear" w:color="auto" w:fill="F1F1F1" w:themeFill="background1" w:themeFillShade="F2"/>
          </w:tcPr>
          <w:p w14:paraId="35D34E55">
            <w:pPr>
              <w:pStyle w:val="35"/>
              <w:snapToGrid w:val="0"/>
              <w:spacing w:before="0" w:after="0"/>
              <w:ind w:left="0"/>
              <w:contextualSpacing w:val="0"/>
              <w:rPr>
                <w:highlight w:val="none"/>
                <w:lang w:val="en-US"/>
              </w:rPr>
            </w:pPr>
            <w:r>
              <w:rPr>
                <w:highlight w:val="none"/>
                <w:lang w:val="en-US"/>
              </w:rPr>
              <w:t>Data/Parameter</w:t>
            </w:r>
          </w:p>
        </w:tc>
        <w:tc>
          <w:tcPr>
            <w:tcW w:w="6083" w:type="dxa"/>
          </w:tcPr>
          <w:p w14:paraId="60F55C7C">
            <w:pPr>
              <w:spacing w:before="0" w:after="0"/>
              <w:rPr>
                <w:b/>
                <w:bCs/>
                <w:i/>
                <w:iCs/>
                <w:highlight w:val="none"/>
                <w:lang w:val="en-US"/>
              </w:rPr>
            </w:pPr>
            <w:r>
              <w:rPr>
                <w:b/>
                <w:bCs/>
                <w:i/>
                <w:iCs/>
                <w:highlight w:val="none"/>
                <w:lang w:val="en-US"/>
              </w:rPr>
              <w:t>GWP</w:t>
            </w:r>
            <w:r>
              <w:rPr>
                <w:b/>
                <w:bCs/>
                <w:i/>
                <w:iCs/>
                <w:highlight w:val="none"/>
                <w:vertAlign w:val="subscript"/>
                <w:lang w:val="en-US"/>
              </w:rPr>
              <w:t>N2O</w:t>
            </w:r>
          </w:p>
        </w:tc>
      </w:tr>
      <w:tr w14:paraId="6E27F55C">
        <w:tc>
          <w:tcPr>
            <w:tcW w:w="2405" w:type="dxa"/>
            <w:shd w:val="clear" w:color="auto" w:fill="F1F1F1" w:themeFill="background1" w:themeFillShade="F2"/>
          </w:tcPr>
          <w:p w14:paraId="0D31CF6C">
            <w:pPr>
              <w:pStyle w:val="35"/>
              <w:snapToGrid w:val="0"/>
              <w:spacing w:before="0" w:after="0"/>
              <w:ind w:left="0"/>
              <w:contextualSpacing w:val="0"/>
              <w:rPr>
                <w:highlight w:val="none"/>
                <w:lang w:val="en-US"/>
              </w:rPr>
            </w:pPr>
            <w:r>
              <w:rPr>
                <w:highlight w:val="none"/>
                <w:lang w:val="en-US"/>
              </w:rPr>
              <w:t>Data unit</w:t>
            </w:r>
          </w:p>
        </w:tc>
        <w:tc>
          <w:tcPr>
            <w:tcW w:w="6083" w:type="dxa"/>
          </w:tcPr>
          <w:p w14:paraId="33F7508C">
            <w:pPr>
              <w:pStyle w:val="35"/>
              <w:snapToGrid w:val="0"/>
              <w:spacing w:before="0" w:after="0"/>
              <w:ind w:left="0"/>
              <w:contextualSpacing w:val="0"/>
              <w:rPr>
                <w:highlight w:val="none"/>
                <w:vertAlign w:val="subscript"/>
                <w:lang w:val="en-US"/>
              </w:rPr>
            </w:pPr>
            <w:r>
              <w:rPr>
                <w:highlight w:val="none"/>
                <w:lang w:val="en-US"/>
              </w:rPr>
              <w:t>t CO</w:t>
            </w:r>
            <w:r>
              <w:rPr>
                <w:highlight w:val="none"/>
                <w:vertAlign w:val="subscript"/>
                <w:lang w:val="en-US"/>
              </w:rPr>
              <w:t>2</w:t>
            </w:r>
            <w:r>
              <w:rPr>
                <w:highlight w:val="none"/>
                <w:lang w:val="en-US"/>
              </w:rPr>
              <w:t>e/t N</w:t>
            </w:r>
            <w:r>
              <w:rPr>
                <w:highlight w:val="none"/>
                <w:vertAlign w:val="subscript"/>
                <w:lang w:val="en-US"/>
              </w:rPr>
              <w:t>2</w:t>
            </w:r>
            <w:r>
              <w:rPr>
                <w:highlight w:val="none"/>
                <w:lang w:val="en-US"/>
              </w:rPr>
              <w:t>O</w:t>
            </w:r>
          </w:p>
        </w:tc>
      </w:tr>
      <w:tr w14:paraId="532FD5C4">
        <w:tc>
          <w:tcPr>
            <w:tcW w:w="2405" w:type="dxa"/>
            <w:shd w:val="clear" w:color="auto" w:fill="F1F1F1" w:themeFill="background1" w:themeFillShade="F2"/>
          </w:tcPr>
          <w:p w14:paraId="26DE6253">
            <w:pPr>
              <w:pStyle w:val="35"/>
              <w:snapToGrid w:val="0"/>
              <w:spacing w:before="0" w:after="0"/>
              <w:ind w:left="0"/>
              <w:contextualSpacing w:val="0"/>
              <w:rPr>
                <w:highlight w:val="none"/>
                <w:lang w:val="en-US"/>
              </w:rPr>
            </w:pPr>
            <w:r>
              <w:rPr>
                <w:highlight w:val="none"/>
                <w:lang w:val="en-US"/>
              </w:rPr>
              <w:t>Description</w:t>
            </w:r>
          </w:p>
        </w:tc>
        <w:tc>
          <w:tcPr>
            <w:tcW w:w="6083" w:type="dxa"/>
          </w:tcPr>
          <w:p w14:paraId="4342F707">
            <w:pPr>
              <w:pStyle w:val="35"/>
              <w:snapToGrid w:val="0"/>
              <w:spacing w:before="0" w:after="0"/>
              <w:ind w:left="0"/>
              <w:contextualSpacing w:val="0"/>
              <w:rPr>
                <w:highlight w:val="none"/>
                <w:lang w:val="en-US"/>
              </w:rPr>
            </w:pPr>
            <w:r>
              <w:rPr>
                <w:highlight w:val="none"/>
                <w:lang w:val="en-US"/>
              </w:rPr>
              <w:t>Global Warming Potential of nitrous oxide.</w:t>
            </w:r>
          </w:p>
        </w:tc>
      </w:tr>
      <w:tr w14:paraId="3CCC2B7A">
        <w:tc>
          <w:tcPr>
            <w:tcW w:w="2405" w:type="dxa"/>
            <w:shd w:val="clear" w:color="auto" w:fill="F1F1F1" w:themeFill="background1" w:themeFillShade="F2"/>
          </w:tcPr>
          <w:p w14:paraId="613E871E">
            <w:pPr>
              <w:pStyle w:val="35"/>
              <w:snapToGrid w:val="0"/>
              <w:spacing w:before="0" w:after="0"/>
              <w:ind w:left="0"/>
              <w:contextualSpacing w:val="0"/>
              <w:rPr>
                <w:highlight w:val="none"/>
                <w:lang w:val="en-US"/>
              </w:rPr>
            </w:pPr>
            <w:r>
              <w:rPr>
                <w:highlight w:val="none"/>
                <w:lang w:val="en-US"/>
              </w:rPr>
              <w:t>Source data</w:t>
            </w:r>
          </w:p>
        </w:tc>
        <w:tc>
          <w:tcPr>
            <w:tcW w:w="6083" w:type="dxa"/>
          </w:tcPr>
          <w:p w14:paraId="2E6417FC">
            <w:pPr>
              <w:pStyle w:val="35"/>
              <w:snapToGrid w:val="0"/>
              <w:spacing w:before="0" w:after="0"/>
              <w:ind w:left="0"/>
              <w:contextualSpacing w:val="0"/>
              <w:rPr>
                <w:highlight w:val="none"/>
                <w:lang w:val="es-ES"/>
              </w:rPr>
            </w:pPr>
            <w:r>
              <w:rPr>
                <w:highlight w:val="none"/>
                <w:lang w:val="es-ES"/>
              </w:rPr>
              <w:t xml:space="preserve">IPCC </w:t>
            </w:r>
          </w:p>
        </w:tc>
      </w:tr>
      <w:tr w14:paraId="18B24306">
        <w:tc>
          <w:tcPr>
            <w:tcW w:w="2405" w:type="dxa"/>
            <w:shd w:val="clear" w:color="auto" w:fill="F1F1F1" w:themeFill="background1" w:themeFillShade="F2"/>
          </w:tcPr>
          <w:p w14:paraId="25142528">
            <w:pPr>
              <w:pStyle w:val="35"/>
              <w:snapToGrid w:val="0"/>
              <w:spacing w:before="0" w:after="0"/>
              <w:ind w:left="0"/>
              <w:contextualSpacing w:val="0"/>
              <w:rPr>
                <w:highlight w:val="none"/>
                <w:lang w:val="en-US"/>
              </w:rPr>
            </w:pPr>
            <w:r>
              <w:rPr>
                <w:highlight w:val="none"/>
                <w:lang w:val="en-US"/>
              </w:rPr>
              <w:t>Value applied</w:t>
            </w:r>
          </w:p>
        </w:tc>
        <w:tc>
          <w:tcPr>
            <w:tcW w:w="6083" w:type="dxa"/>
          </w:tcPr>
          <w:p w14:paraId="23DCDEDA">
            <w:pPr>
              <w:pStyle w:val="35"/>
              <w:snapToGrid w:val="0"/>
              <w:spacing w:before="0" w:after="0"/>
              <w:ind w:left="0"/>
              <w:contextualSpacing w:val="0"/>
              <w:rPr>
                <w:highlight w:val="none"/>
                <w:lang w:val="en-US"/>
              </w:rPr>
            </w:pPr>
            <w:r>
              <w:rPr>
                <w:highlight w:val="none"/>
                <w:lang w:val="en-US"/>
              </w:rPr>
              <w:t>265</w:t>
            </w:r>
          </w:p>
        </w:tc>
      </w:tr>
      <w:tr w14:paraId="4FC7CC47">
        <w:tc>
          <w:tcPr>
            <w:tcW w:w="2405" w:type="dxa"/>
            <w:shd w:val="clear" w:color="auto" w:fill="F1F1F1" w:themeFill="background1" w:themeFillShade="F2"/>
          </w:tcPr>
          <w:p w14:paraId="1BED0E0E">
            <w:pPr>
              <w:pStyle w:val="35"/>
              <w:snapToGrid w:val="0"/>
              <w:spacing w:before="0" w:after="0"/>
              <w:ind w:left="0"/>
              <w:contextualSpacing w:val="0"/>
              <w:rPr>
                <w:highlight w:val="none"/>
                <w:lang w:val="en-US"/>
              </w:rPr>
            </w:pPr>
            <w:r>
              <w:rPr>
                <w:highlight w:val="none"/>
                <w:lang w:val="en-US"/>
              </w:rPr>
              <w:t>Justification of choice of data or description of measurement methods and procedures applied</w:t>
            </w:r>
          </w:p>
        </w:tc>
        <w:tc>
          <w:tcPr>
            <w:tcW w:w="6083" w:type="dxa"/>
          </w:tcPr>
          <w:p w14:paraId="2F8C5362">
            <w:pPr>
              <w:snapToGrid w:val="0"/>
              <w:spacing w:before="0" w:after="0"/>
              <w:rPr>
                <w:highlight w:val="none"/>
                <w:lang w:val="en-US"/>
              </w:rPr>
            </w:pPr>
            <w:r>
              <w:rPr>
                <w:highlight w:val="none"/>
                <w:lang w:val="en-US"/>
              </w:rPr>
              <w:t>Global warming potential of nitrous oxide valid for the relevant commitment period.</w:t>
            </w:r>
          </w:p>
        </w:tc>
      </w:tr>
      <w:tr w14:paraId="39A55459">
        <w:tc>
          <w:tcPr>
            <w:tcW w:w="2405" w:type="dxa"/>
            <w:shd w:val="clear" w:color="auto" w:fill="F1F1F1" w:themeFill="background1" w:themeFillShade="F2"/>
          </w:tcPr>
          <w:p w14:paraId="711B4D28">
            <w:pPr>
              <w:pStyle w:val="35"/>
              <w:snapToGrid w:val="0"/>
              <w:spacing w:before="0" w:after="0"/>
              <w:ind w:left="0"/>
              <w:contextualSpacing w:val="0"/>
              <w:rPr>
                <w:highlight w:val="none"/>
                <w:lang w:val="en-US"/>
              </w:rPr>
            </w:pPr>
            <w:r>
              <w:rPr>
                <w:highlight w:val="none"/>
                <w:lang w:val="en-US"/>
              </w:rPr>
              <w:t>Purpose of data</w:t>
            </w:r>
          </w:p>
        </w:tc>
        <w:tc>
          <w:tcPr>
            <w:tcW w:w="6083" w:type="dxa"/>
          </w:tcPr>
          <w:p w14:paraId="126A33EB">
            <w:pPr>
              <w:pStyle w:val="22"/>
              <w:spacing w:before="0" w:beforeAutospacing="0" w:after="0" w:afterAutospacing="0"/>
              <w:rPr>
                <w:rFonts w:ascii="Arial" w:hAnsi="Arial" w:cs="Arial" w:eastAsiaTheme="minorHAnsi"/>
                <w:sz w:val="22"/>
                <w:szCs w:val="22"/>
                <w:highlight w:val="none"/>
                <w:lang w:eastAsia="en-US"/>
              </w:rPr>
            </w:pPr>
            <w:r>
              <w:rPr>
                <w:rFonts w:ascii="Arial" w:hAnsi="Arial" w:cs="Arial" w:eastAsiaTheme="minorHAnsi"/>
                <w:sz w:val="22"/>
                <w:szCs w:val="22"/>
                <w:highlight w:val="none"/>
                <w:lang w:eastAsia="en-US"/>
              </w:rPr>
              <w:t>Determination of the project emissions.</w:t>
            </w:r>
          </w:p>
        </w:tc>
      </w:tr>
      <w:tr w14:paraId="5DECC756">
        <w:tc>
          <w:tcPr>
            <w:tcW w:w="2405" w:type="dxa"/>
            <w:shd w:val="clear" w:color="auto" w:fill="F1F1F1" w:themeFill="background1" w:themeFillShade="F2"/>
          </w:tcPr>
          <w:p w14:paraId="53ECFC34">
            <w:pPr>
              <w:pStyle w:val="35"/>
              <w:snapToGrid w:val="0"/>
              <w:spacing w:before="0" w:after="0"/>
              <w:ind w:left="0"/>
              <w:contextualSpacing w:val="0"/>
              <w:rPr>
                <w:highlight w:val="none"/>
                <w:lang w:val="en-US"/>
              </w:rPr>
            </w:pPr>
            <w:r>
              <w:rPr>
                <w:highlight w:val="none"/>
                <w:lang w:val="en-US"/>
              </w:rPr>
              <w:t>Any comments</w:t>
            </w:r>
          </w:p>
        </w:tc>
        <w:tc>
          <w:tcPr>
            <w:tcW w:w="6083" w:type="dxa"/>
          </w:tcPr>
          <w:p w14:paraId="28B367BF">
            <w:pPr>
              <w:pStyle w:val="35"/>
              <w:snapToGrid w:val="0"/>
              <w:spacing w:before="0" w:after="0"/>
              <w:ind w:left="0"/>
              <w:contextualSpacing w:val="0"/>
              <w:rPr>
                <w:highlight w:val="none"/>
                <w:lang w:val="en-US"/>
              </w:rPr>
            </w:pPr>
            <w:r>
              <w:rPr>
                <w:highlight w:val="none"/>
              </w:rPr>
              <w:fldChar w:fldCharType="begin"/>
            </w:r>
            <w:r>
              <w:rPr>
                <w:highlight w:val="none"/>
              </w:rPr>
              <w:instrText xml:space="preserve"> HYPERLINK "https://ghgprotocol.org/sites/default/files/Global-Warming-Potential-Values%20%28Feb%2016%202016%29_0.pdf" </w:instrText>
            </w:r>
            <w:r>
              <w:rPr>
                <w:highlight w:val="none"/>
              </w:rPr>
              <w:fldChar w:fldCharType="separate"/>
            </w:r>
            <w:r>
              <w:rPr>
                <w:rStyle w:val="20"/>
                <w:i/>
                <w:iCs/>
                <w:color w:val="auto"/>
                <w:highlight w:val="none"/>
                <w:lang w:val="en-US"/>
              </w:rPr>
              <w:t>https://ghgprotocol.org/sites/default/files/Global-Warming-Potential-Values%20%28Feb%2016%202016%29_0.pdf</w:t>
            </w:r>
            <w:r>
              <w:rPr>
                <w:rStyle w:val="20"/>
                <w:i/>
                <w:iCs/>
                <w:color w:val="auto"/>
                <w:highlight w:val="none"/>
                <w:lang w:val="en-US"/>
              </w:rPr>
              <w:fldChar w:fldCharType="end"/>
            </w:r>
          </w:p>
        </w:tc>
      </w:tr>
    </w:tbl>
    <w:p w14:paraId="52D4FDFC">
      <w:pPr>
        <w:pStyle w:val="35"/>
        <w:snapToGrid w:val="0"/>
        <w:ind w:left="0"/>
        <w:contextualSpacing w:val="0"/>
        <w:rPr>
          <w:highlight w:val="none"/>
          <w:lang w:val="en-US"/>
        </w:rPr>
      </w:pPr>
    </w:p>
    <w:p w14:paraId="2D36E57E">
      <w:pPr>
        <w:pStyle w:val="4"/>
        <w:rPr>
          <w:highlight w:val="none"/>
        </w:rPr>
      </w:pPr>
      <w:bookmarkStart w:id="126" w:name="_Toc2040602433"/>
      <w:r>
        <w:rPr>
          <w:highlight w:val="none"/>
        </w:rPr>
        <w:t>Data and parameters monitored</w:t>
      </w:r>
      <w:bookmarkEnd w:id="126"/>
    </w:p>
    <w:p w14:paraId="42F76BDC">
      <w:pPr>
        <w:rPr>
          <w:rFonts w:hint="default"/>
          <w:highlight w:val="none"/>
          <w:lang w:val="es-ES"/>
        </w:rPr>
      </w:pPr>
      <w:r>
        <w:rPr>
          <w:highlight w:val="none"/>
          <w:lang w:val="en-US"/>
        </w:rPr>
        <w:t>Relevant parameters will be monitored during the crediting period as indicated in the tables below</w:t>
      </w:r>
      <w:r>
        <w:rPr>
          <w:rFonts w:hint="default"/>
          <w:highlight w:val="none"/>
          <w:lang w:val="es-ES"/>
        </w:rPr>
        <w:t>:</w:t>
      </w:r>
    </w:p>
    <w:p w14:paraId="0AA35A0E">
      <w:pPr>
        <w:pStyle w:val="35"/>
        <w:snapToGrid w:val="0"/>
        <w:spacing w:after="0"/>
        <w:ind w:left="0"/>
        <w:contextualSpacing w:val="0"/>
        <w:rPr>
          <w:rFonts w:hint="default"/>
          <w:highlight w:val="none"/>
          <w:lang w:val="es-ES"/>
        </w:rPr>
      </w:pPr>
      <w:r>
        <w:rPr>
          <w:highlight w:val="none"/>
          <w:lang w:val="en-US"/>
        </w:rPr>
        <w:t xml:space="preserve">Data/Parameter </w:t>
      </w:r>
      <w:r>
        <w:rPr>
          <w:rFonts w:hint="default"/>
          <w:highlight w:val="none"/>
          <w:lang w:val="es-ES"/>
        </w:rPr>
        <w:t>7</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6612"/>
      </w:tblGrid>
      <w:tr w14:paraId="3C539299">
        <w:tc>
          <w:tcPr>
            <w:tcW w:w="1876" w:type="dxa"/>
            <w:shd w:val="clear" w:color="auto" w:fill="F1F1F1" w:themeFill="background1" w:themeFillShade="F2"/>
          </w:tcPr>
          <w:p w14:paraId="627D3279">
            <w:pPr>
              <w:pStyle w:val="35"/>
              <w:snapToGrid w:val="0"/>
              <w:spacing w:before="0" w:after="0"/>
              <w:ind w:left="0"/>
              <w:contextualSpacing w:val="0"/>
              <w:rPr>
                <w:highlight w:val="none"/>
                <w:lang w:val="en-US"/>
              </w:rPr>
            </w:pPr>
            <w:r>
              <w:rPr>
                <w:highlight w:val="none"/>
                <w:lang w:val="en-US"/>
              </w:rPr>
              <w:t>Data/Parameter</w:t>
            </w:r>
          </w:p>
        </w:tc>
        <w:tc>
          <w:tcPr>
            <w:tcW w:w="6612" w:type="dxa"/>
          </w:tcPr>
          <w:p w14:paraId="60DD42F1">
            <w:pPr>
              <w:spacing w:before="0" w:after="0"/>
              <w:rPr>
                <w:b/>
                <w:bCs/>
                <w:i/>
                <w:iCs/>
                <w:highlight w:val="none"/>
                <w:lang w:val="en-US"/>
              </w:rPr>
            </w:pPr>
            <w:r>
              <w:rPr>
                <w:b w:val="0"/>
                <w:bCs w:val="0"/>
                <w:i/>
                <w:iCs/>
                <w:highlight w:val="none"/>
                <w:lang w:val="en-US"/>
              </w:rPr>
              <w:t>W</w:t>
            </w:r>
            <w:r>
              <w:rPr>
                <w:b w:val="0"/>
                <w:bCs w:val="0"/>
                <w:i/>
                <w:iCs/>
                <w:highlight w:val="none"/>
                <w:vertAlign w:val="subscript"/>
                <w:lang w:val="en-US"/>
              </w:rPr>
              <w:t>j,x</w:t>
            </w:r>
          </w:p>
        </w:tc>
      </w:tr>
      <w:tr w14:paraId="7AD83520">
        <w:tc>
          <w:tcPr>
            <w:tcW w:w="1876" w:type="dxa"/>
            <w:shd w:val="clear" w:color="auto" w:fill="F1F1F1" w:themeFill="background1" w:themeFillShade="F2"/>
          </w:tcPr>
          <w:p w14:paraId="3EA7E8CC">
            <w:pPr>
              <w:pStyle w:val="35"/>
              <w:snapToGrid w:val="0"/>
              <w:spacing w:before="0" w:after="0"/>
              <w:ind w:left="0"/>
              <w:contextualSpacing w:val="0"/>
              <w:rPr>
                <w:highlight w:val="none"/>
                <w:lang w:val="en-US"/>
              </w:rPr>
            </w:pPr>
            <w:r>
              <w:rPr>
                <w:highlight w:val="none"/>
                <w:lang w:val="en-US"/>
              </w:rPr>
              <w:t>Data unit</w:t>
            </w:r>
          </w:p>
        </w:tc>
        <w:tc>
          <w:tcPr>
            <w:tcW w:w="6612" w:type="dxa"/>
          </w:tcPr>
          <w:p w14:paraId="5114514E">
            <w:pPr>
              <w:pStyle w:val="35"/>
              <w:snapToGrid w:val="0"/>
              <w:spacing w:before="0" w:after="0"/>
              <w:ind w:left="0"/>
              <w:contextualSpacing w:val="0"/>
              <w:rPr>
                <w:highlight w:val="none"/>
                <w:lang w:val="en-US"/>
              </w:rPr>
            </w:pPr>
            <w:r>
              <w:rPr>
                <w:highlight w:val="none"/>
                <w:lang w:val="en-US"/>
              </w:rPr>
              <w:t>t</w:t>
            </w:r>
          </w:p>
        </w:tc>
      </w:tr>
      <w:tr w14:paraId="781DB940">
        <w:tc>
          <w:tcPr>
            <w:tcW w:w="1876" w:type="dxa"/>
            <w:shd w:val="clear" w:color="auto" w:fill="F1F1F1" w:themeFill="background1" w:themeFillShade="F2"/>
          </w:tcPr>
          <w:p w14:paraId="4DB40FC7">
            <w:pPr>
              <w:pStyle w:val="35"/>
              <w:snapToGrid w:val="0"/>
              <w:spacing w:before="0" w:after="0"/>
              <w:ind w:left="0"/>
              <w:contextualSpacing w:val="0"/>
              <w:rPr>
                <w:highlight w:val="none"/>
                <w:lang w:val="en-US"/>
              </w:rPr>
            </w:pPr>
            <w:r>
              <w:rPr>
                <w:highlight w:val="none"/>
                <w:lang w:val="en-US"/>
              </w:rPr>
              <w:t>Description</w:t>
            </w:r>
          </w:p>
        </w:tc>
        <w:tc>
          <w:tcPr>
            <w:tcW w:w="6612" w:type="dxa"/>
          </w:tcPr>
          <w:p w14:paraId="7E44B2DE">
            <w:pPr>
              <w:snapToGrid w:val="0"/>
              <w:spacing w:before="0" w:after="0"/>
              <w:rPr>
                <w:highlight w:val="none"/>
                <w:lang w:val="en-US"/>
              </w:rPr>
            </w:pPr>
            <w:r>
              <w:rPr>
                <w:highlight w:val="none"/>
                <w:lang w:val="en-US"/>
              </w:rPr>
              <w:t>Amount of solid waste type j prevent from disposal in the SWDS in year x</w:t>
            </w:r>
          </w:p>
        </w:tc>
      </w:tr>
      <w:tr w14:paraId="57979838">
        <w:tc>
          <w:tcPr>
            <w:tcW w:w="1876" w:type="dxa"/>
            <w:shd w:val="clear" w:color="auto" w:fill="F1F1F1" w:themeFill="background1" w:themeFillShade="F2"/>
          </w:tcPr>
          <w:p w14:paraId="42A56BFE">
            <w:pPr>
              <w:pStyle w:val="35"/>
              <w:snapToGrid w:val="0"/>
              <w:spacing w:before="0" w:after="0"/>
              <w:ind w:left="0"/>
              <w:contextualSpacing w:val="0"/>
              <w:rPr>
                <w:highlight w:val="none"/>
                <w:lang w:val="en-US"/>
              </w:rPr>
            </w:pPr>
            <w:r>
              <w:rPr>
                <w:highlight w:val="none"/>
                <w:lang w:val="en-US"/>
              </w:rPr>
              <w:t>Source data</w:t>
            </w:r>
          </w:p>
        </w:tc>
        <w:tc>
          <w:tcPr>
            <w:tcW w:w="6612" w:type="dxa"/>
          </w:tcPr>
          <w:p w14:paraId="4B23D1DB">
            <w:pPr>
              <w:snapToGrid w:val="0"/>
              <w:spacing w:before="0" w:after="0"/>
              <w:rPr>
                <w:highlight w:val="none"/>
                <w:lang w:val="en-US"/>
              </w:rPr>
            </w:pPr>
            <w:r>
              <w:rPr>
                <w:highlight w:val="none"/>
                <w:lang w:val="en-US"/>
              </w:rPr>
              <w:t>Measurements by project holder.</w:t>
            </w:r>
          </w:p>
        </w:tc>
      </w:tr>
      <w:tr w14:paraId="29EA8FC7">
        <w:tc>
          <w:tcPr>
            <w:tcW w:w="1876" w:type="dxa"/>
            <w:shd w:val="clear" w:color="auto" w:fill="F1F1F1" w:themeFill="background1" w:themeFillShade="F2"/>
          </w:tcPr>
          <w:p w14:paraId="6FC59E7E">
            <w:pPr>
              <w:pStyle w:val="35"/>
              <w:snapToGrid w:val="0"/>
              <w:spacing w:before="0" w:after="0"/>
              <w:ind w:left="0"/>
              <w:contextualSpacing w:val="0"/>
              <w:rPr>
                <w:highlight w:val="none"/>
                <w:lang w:val="en-US"/>
              </w:rPr>
            </w:pPr>
            <w:r>
              <w:rPr>
                <w:highlight w:val="none"/>
                <w:lang w:val="en-US"/>
              </w:rPr>
              <w:t>Value applied</w:t>
            </w:r>
          </w:p>
        </w:tc>
        <w:tc>
          <w:tcPr>
            <w:tcW w:w="6612" w:type="dxa"/>
          </w:tcPr>
          <w:p w14:paraId="51D8B08A">
            <w:pPr>
              <w:pStyle w:val="35"/>
              <w:snapToGrid w:val="0"/>
              <w:spacing w:before="0" w:after="0"/>
              <w:ind w:left="0"/>
              <w:contextualSpacing w:val="0"/>
              <w:rPr>
                <w:rFonts w:hint="default"/>
                <w:highlight w:val="none"/>
                <w:lang w:val="es-ES"/>
              </w:rPr>
            </w:pPr>
            <w:r>
              <w:rPr>
                <w:highlight w:val="none"/>
                <w:lang w:val="en-US"/>
              </w:rPr>
              <w:t>Since the measurement of the amount of solid waste has an 2% of uncertainly, the final values applied are</w:t>
            </w:r>
            <w:r>
              <w:rPr>
                <w:rFonts w:hint="default"/>
                <w:highlight w:val="none"/>
                <w:lang w:val="es-ES"/>
              </w:rPr>
              <w:t xml:space="preserve"> above,</w:t>
            </w:r>
          </w:p>
          <w:tbl>
            <w:tblPr>
              <w:tblStyle w:val="12"/>
              <w:tblW w:w="64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3"/>
              <w:gridCol w:w="1132"/>
              <w:gridCol w:w="1132"/>
              <w:gridCol w:w="1132"/>
              <w:gridCol w:w="1132"/>
              <w:gridCol w:w="1132"/>
            </w:tblGrid>
            <w:tr w14:paraId="3118A41F">
              <w:trPr>
                <w:trHeight w:val="1216" w:hRule="atLeast"/>
                <w:jc w:val="center"/>
              </w:trPr>
              <w:tc>
                <w:tcPr>
                  <w:tcW w:w="743" w:type="dxa"/>
                  <w:tcBorders>
                    <w:top w:val="single" w:color="000000" w:sz="8" w:space="0"/>
                    <w:left w:val="single" w:color="000000" w:sz="8" w:space="0"/>
                    <w:bottom w:val="single" w:color="000000" w:sz="4" w:space="0"/>
                    <w:right w:val="single" w:color="000000" w:sz="4" w:space="0"/>
                  </w:tcBorders>
                  <w:shd w:val="clear" w:color="auto" w:fill="FFFFFF" w:themeFill="background1"/>
                  <w:noWrap/>
                  <w:vAlign w:val="center"/>
                </w:tcPr>
                <w:p w14:paraId="6BFD1091">
                  <w:pPr>
                    <w:spacing w:before="0" w:after="0"/>
                    <w:jc w:val="center"/>
                    <w:rPr>
                      <w:rFonts w:hint="default"/>
                      <w:color w:val="000000" w:themeColor="text1"/>
                      <w:highlight w:val="none"/>
                      <w:lang w:val="es-ES"/>
                      <w14:textFill>
                        <w14:solidFill>
                          <w14:schemeClr w14:val="tx1"/>
                        </w14:solidFill>
                      </w14:textFill>
                    </w:rPr>
                  </w:pPr>
                  <w:r>
                    <w:rPr>
                      <w:rFonts w:hint="default"/>
                      <w:color w:val="000000" w:themeColor="text1"/>
                      <w:highlight w:val="none"/>
                      <w:lang w:val="es-ES"/>
                      <w14:textFill>
                        <w14:solidFill>
                          <w14:schemeClr w14:val="tx1"/>
                        </w14:solidFill>
                      </w14:textFill>
                    </w:rPr>
                    <w:t>PERIOD / YEAR</w:t>
                  </w:r>
                </w:p>
              </w:tc>
              <w:tc>
                <w:tcPr>
                  <w:tcW w:w="1132"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50C131AF">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1</w:t>
                  </w:r>
                </w:p>
                <w:p w14:paraId="5B7735AE">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/2018-31/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/2019</w:t>
                  </w:r>
                </w:p>
              </w:tc>
              <w:tc>
                <w:tcPr>
                  <w:tcW w:w="1132"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3A520078">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2</w:t>
                  </w:r>
                </w:p>
                <w:p w14:paraId="276EB479">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/2019-31/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/2020</w:t>
                  </w:r>
                </w:p>
              </w:tc>
              <w:tc>
                <w:tcPr>
                  <w:tcW w:w="1132"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69381531">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3</w:t>
                  </w:r>
                </w:p>
                <w:p w14:paraId="6110E3BB">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/2020-31/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/2021</w:t>
                  </w:r>
                </w:p>
              </w:tc>
              <w:tc>
                <w:tcPr>
                  <w:tcW w:w="1132"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67B362BD">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4</w:t>
                  </w:r>
                </w:p>
                <w:p w14:paraId="2F4017DE">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/2021-31/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/2022</w:t>
                  </w:r>
                </w:p>
              </w:tc>
              <w:tc>
                <w:tcPr>
                  <w:tcW w:w="1132"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1DFB6868">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5</w:t>
                  </w:r>
                </w:p>
                <w:p w14:paraId="4E0D3C73">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/2022-31/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/2023</w:t>
                  </w:r>
                </w:p>
              </w:tc>
            </w:tr>
            <w:tr w14:paraId="66E5A818">
              <w:trPr>
                <w:trHeight w:val="315" w:hRule="atLeast"/>
                <w:jc w:val="center"/>
              </w:trPr>
              <w:tc>
                <w:tcPr>
                  <w:tcW w:w="743" w:type="dxa"/>
                  <w:tcBorders>
                    <w:top w:val="single" w:color="000000" w:sz="4" w:space="0"/>
                    <w:left w:val="single" w:color="000000" w:sz="8" w:space="0"/>
                    <w:bottom w:val="single" w:color="000000" w:sz="8" w:space="0"/>
                    <w:right w:val="single" w:color="000000" w:sz="4" w:space="0"/>
                  </w:tcBorders>
                  <w:shd w:val="clear" w:color="auto" w:fill="FFFFFF" w:themeFill="background1"/>
                  <w:noWrap/>
                  <w:vAlign w:val="center"/>
                </w:tcPr>
                <w:p w14:paraId="03C0FED8">
                  <w:pPr>
                    <w:spacing w:before="0" w:after="0"/>
                    <w:jc w:val="center"/>
                    <w:rPr>
                      <w:rFonts w:hint="default"/>
                      <w:color w:val="000000" w:themeColor="text1"/>
                      <w:highlight w:val="none"/>
                      <w14:textFill>
                        <w14:solidFill>
                          <w14:schemeClr w14:val="tx1"/>
                        </w14:solidFill>
                      </w14:textFill>
                    </w:rPr>
                  </w:pPr>
                  <w:r>
                    <w:rPr>
                      <w:rFonts w:hint="default"/>
                      <w:bCs/>
                      <w:color w:val="000000" w:themeColor="text1"/>
                      <w:highlight w:val="none"/>
                      <w:vertAlign w:val="baseline"/>
                      <w:lang w:val="es-ES"/>
                      <w14:textFill>
                        <w14:solidFill>
                          <w14:schemeClr w14:val="tx1"/>
                        </w14:solidFill>
                      </w14:textFill>
                    </w:rPr>
                    <w:t>W</w:t>
                  </w:r>
                  <w:r>
                    <w:rPr>
                      <w:rFonts w:hint="default"/>
                      <w:bCs/>
                      <w:color w:val="000000" w:themeColor="text1"/>
                      <w:highlight w:val="none"/>
                      <w:vertAlign w:val="subscript"/>
                      <w:lang w:val="es-ES"/>
                      <w14:textFill>
                        <w14:solidFill>
                          <w14:schemeClr w14:val="tx1"/>
                        </w14:solidFill>
                      </w14:textFill>
                    </w:rPr>
                    <w:t>j,x</w:t>
                  </w:r>
                  <w:r>
                    <w:rPr>
                      <w:bCs/>
                      <w:color w:val="000000" w:themeColor="text1"/>
                      <w:highlight w:val="none"/>
                      <w:lang w:val="en-US"/>
                      <w14:textFill>
                        <w14:solidFill>
                          <w14:schemeClr w14:val="tx1"/>
                        </w14:solidFill>
                      </w14:textFill>
                    </w:rPr>
                    <w:t xml:space="preserve"> (t)</w:t>
                  </w:r>
                </w:p>
              </w:tc>
              <w:tc>
                <w:tcPr>
                  <w:tcW w:w="1132"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21FF6EEC">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12,046.71 </w:t>
                  </w:r>
                </w:p>
              </w:tc>
              <w:tc>
                <w:tcPr>
                  <w:tcW w:w="1132"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331D4C8F">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16,520.30 </w:t>
                  </w:r>
                </w:p>
              </w:tc>
              <w:tc>
                <w:tcPr>
                  <w:tcW w:w="1132"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63C73435">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13,893.60 </w:t>
                  </w:r>
                </w:p>
              </w:tc>
              <w:tc>
                <w:tcPr>
                  <w:tcW w:w="1132"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689676BA">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16,800.88 </w:t>
                  </w:r>
                </w:p>
              </w:tc>
              <w:tc>
                <w:tcPr>
                  <w:tcW w:w="1132"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5042A01C">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16,182.50 </w:t>
                  </w:r>
                </w:p>
              </w:tc>
            </w:tr>
          </w:tbl>
          <w:p w14:paraId="16A2661D">
            <w:pPr>
              <w:spacing w:after="160" w:line="259" w:lineRule="auto"/>
              <w:rPr>
                <w:highlight w:val="none"/>
                <w:lang w:val="en-US"/>
              </w:rPr>
            </w:pPr>
          </w:p>
        </w:tc>
      </w:tr>
      <w:tr w14:paraId="49E38771">
        <w:tc>
          <w:tcPr>
            <w:tcW w:w="1876" w:type="dxa"/>
            <w:shd w:val="clear" w:color="auto" w:fill="F1F1F1" w:themeFill="background1" w:themeFillShade="F2"/>
          </w:tcPr>
          <w:p w14:paraId="324EC824">
            <w:pPr>
              <w:pStyle w:val="35"/>
              <w:snapToGrid w:val="0"/>
              <w:spacing w:before="0" w:after="0"/>
              <w:ind w:left="0"/>
              <w:contextualSpacing w:val="0"/>
              <w:rPr>
                <w:highlight w:val="none"/>
                <w:lang w:val="en-US"/>
              </w:rPr>
            </w:pPr>
            <w:r>
              <w:rPr>
                <w:highlight w:val="none"/>
                <w:lang w:val="en-US"/>
              </w:rPr>
              <w:t>Justification of choice of data or description of measurement methods and procedures applied</w:t>
            </w:r>
          </w:p>
        </w:tc>
        <w:tc>
          <w:tcPr>
            <w:tcW w:w="6612" w:type="dxa"/>
          </w:tcPr>
          <w:p w14:paraId="64275560">
            <w:pPr>
              <w:rPr>
                <w:highlight w:val="none"/>
                <w:lang w:val="en-US"/>
              </w:rPr>
            </w:pPr>
            <w:r>
              <w:rPr>
                <w:highlight w:val="none"/>
                <w:lang w:val="en-US"/>
              </w:rPr>
              <w:t>According to paragraph 25, of the methodological tool 4 “</w:t>
            </w:r>
            <w:r>
              <w:rPr>
                <w:i/>
                <w:iCs/>
                <w:highlight w:val="none"/>
                <w:lang w:val="en-US"/>
              </w:rPr>
              <w:t>Emissions from solid waste disposal sites. Version 08.1</w:t>
            </w:r>
            <w:r>
              <w:rPr>
                <w:highlight w:val="none"/>
                <w:lang w:val="en-US"/>
              </w:rPr>
              <w:t>” “in case that only one type of waste is disposed, then W</w:t>
            </w:r>
            <w:r>
              <w:rPr>
                <w:highlight w:val="none"/>
                <w:vertAlign w:val="subscript"/>
                <w:lang w:val="en-US"/>
              </w:rPr>
              <w:t xml:space="preserve">j,x, </w:t>
            </w:r>
            <w:r>
              <w:rPr>
                <w:highlight w:val="none"/>
                <w:lang w:val="en-US"/>
              </w:rPr>
              <w:t>= W</w:t>
            </w:r>
            <w:r>
              <w:rPr>
                <w:highlight w:val="none"/>
                <w:vertAlign w:val="subscript"/>
                <w:lang w:val="en-US"/>
              </w:rPr>
              <w:t xml:space="preserve">x </w:t>
            </w:r>
            <w:r>
              <w:rPr>
                <w:highlight w:val="none"/>
                <w:lang w:val="en-US"/>
              </w:rPr>
              <w:t>and W</w:t>
            </w:r>
            <w:r>
              <w:rPr>
                <w:highlight w:val="none"/>
                <w:vertAlign w:val="subscript"/>
                <w:lang w:val="en-US"/>
              </w:rPr>
              <w:t xml:space="preserve">x, </w:t>
            </w:r>
            <w:r>
              <w:rPr>
                <w:highlight w:val="none"/>
                <w:lang w:val="en-US"/>
              </w:rPr>
              <w:t>= W</w:t>
            </w:r>
            <w:r>
              <w:rPr>
                <w:highlight w:val="none"/>
                <w:vertAlign w:val="subscript"/>
                <w:lang w:val="en-US"/>
              </w:rPr>
              <w:t>i.</w:t>
            </w:r>
            <w:r>
              <w:rPr>
                <w:highlight w:val="none"/>
                <w:lang w:val="en-US"/>
              </w:rPr>
              <w:t>” And, as per table 11 (page 19), for application B this parameter is the total amount of waste disposed in a SWDS in year x and its data source are the measurements of the project holder.</w:t>
            </w:r>
          </w:p>
        </w:tc>
      </w:tr>
      <w:tr w14:paraId="6BE1EEA3">
        <w:tc>
          <w:tcPr>
            <w:tcW w:w="1876" w:type="dxa"/>
            <w:shd w:val="clear" w:color="auto" w:fill="F1F1F1" w:themeFill="background1" w:themeFillShade="F2"/>
          </w:tcPr>
          <w:p w14:paraId="39DF31FF">
            <w:pPr>
              <w:pStyle w:val="35"/>
              <w:snapToGrid w:val="0"/>
              <w:spacing w:before="0" w:after="0"/>
              <w:ind w:left="0"/>
              <w:contextualSpacing w:val="0"/>
              <w:rPr>
                <w:highlight w:val="none"/>
                <w:lang w:val="en-US"/>
              </w:rPr>
            </w:pPr>
            <w:r>
              <w:rPr>
                <w:highlight w:val="none"/>
                <w:lang w:val="en-US"/>
              </w:rPr>
              <w:t>Purpose of data</w:t>
            </w:r>
          </w:p>
        </w:tc>
        <w:tc>
          <w:tcPr>
            <w:tcW w:w="6612" w:type="dxa"/>
          </w:tcPr>
          <w:p w14:paraId="30CAF6CE">
            <w:pPr>
              <w:pStyle w:val="22"/>
              <w:spacing w:before="0" w:beforeAutospacing="0" w:after="0" w:afterAutospacing="0"/>
              <w:rPr>
                <w:rFonts w:ascii="Arial" w:hAnsi="Arial" w:cs="Arial" w:eastAsiaTheme="minorHAnsi"/>
                <w:sz w:val="22"/>
                <w:szCs w:val="22"/>
                <w:highlight w:val="none"/>
                <w:lang w:eastAsia="en-US"/>
              </w:rPr>
            </w:pPr>
            <w:r>
              <w:rPr>
                <w:rFonts w:ascii="Arial" w:hAnsi="Arial" w:cs="Arial" w:eastAsiaTheme="minorHAnsi"/>
                <w:sz w:val="22"/>
                <w:szCs w:val="22"/>
                <w:highlight w:val="none"/>
                <w:lang w:eastAsia="en-US"/>
              </w:rPr>
              <w:t>Determination of the baseline</w:t>
            </w:r>
          </w:p>
        </w:tc>
      </w:tr>
      <w:tr w14:paraId="78D7FE02">
        <w:trPr>
          <w:trHeight w:val="467" w:hRule="atLeast"/>
        </w:trPr>
        <w:tc>
          <w:tcPr>
            <w:tcW w:w="1876" w:type="dxa"/>
            <w:shd w:val="clear" w:color="auto" w:fill="F1F1F1" w:themeFill="background1" w:themeFillShade="F2"/>
          </w:tcPr>
          <w:p w14:paraId="7C9FB40C">
            <w:pPr>
              <w:pStyle w:val="35"/>
              <w:snapToGrid w:val="0"/>
              <w:spacing w:before="0" w:after="0"/>
              <w:ind w:left="0"/>
              <w:contextualSpacing w:val="0"/>
              <w:rPr>
                <w:highlight w:val="none"/>
                <w:lang w:val="en-US"/>
              </w:rPr>
            </w:pPr>
            <w:r>
              <w:rPr>
                <w:highlight w:val="none"/>
                <w:lang w:val="en-US"/>
              </w:rPr>
              <w:t>Monitoring frequency</w:t>
            </w:r>
          </w:p>
        </w:tc>
        <w:tc>
          <w:tcPr>
            <w:tcW w:w="6612" w:type="dxa"/>
          </w:tcPr>
          <w:p w14:paraId="5C5BBEFE">
            <w:pPr>
              <w:pStyle w:val="22"/>
              <w:spacing w:before="0" w:beforeAutospacing="0" w:after="0" w:afterAutospacing="0"/>
              <w:rPr>
                <w:rFonts w:ascii="Arial" w:hAnsi="Arial" w:cs="Arial" w:eastAsiaTheme="minorHAnsi"/>
                <w:sz w:val="22"/>
                <w:szCs w:val="22"/>
                <w:highlight w:val="none"/>
                <w:lang w:eastAsia="en-US"/>
              </w:rPr>
            </w:pPr>
            <w:r>
              <w:rPr>
                <w:rFonts w:ascii="Arial" w:hAnsi="Arial" w:cs="Arial" w:eastAsiaTheme="minorHAnsi"/>
                <w:sz w:val="22"/>
                <w:szCs w:val="22"/>
                <w:highlight w:val="none"/>
                <w:lang w:eastAsia="en-US"/>
              </w:rPr>
              <w:t>Monitored continuously with the entrance of each truck at the plant.</w:t>
            </w:r>
          </w:p>
        </w:tc>
      </w:tr>
      <w:tr w14:paraId="5E54B745">
        <w:trPr>
          <w:trHeight w:val="467" w:hRule="atLeast"/>
        </w:trPr>
        <w:tc>
          <w:tcPr>
            <w:tcW w:w="1876" w:type="dxa"/>
            <w:shd w:val="clear" w:color="auto" w:fill="F1F1F1" w:themeFill="background1" w:themeFillShade="F2"/>
          </w:tcPr>
          <w:p w14:paraId="6F2EA1A0">
            <w:pPr>
              <w:pStyle w:val="35"/>
              <w:snapToGrid w:val="0"/>
              <w:spacing w:before="0" w:after="0"/>
              <w:ind w:left="0"/>
              <w:contextualSpacing w:val="0"/>
              <w:rPr>
                <w:highlight w:val="none"/>
                <w:lang w:val="en-US"/>
              </w:rPr>
            </w:pPr>
            <w:r>
              <w:rPr>
                <w:highlight w:val="none"/>
                <w:lang w:val="en-US"/>
              </w:rPr>
              <w:t>Any comments</w:t>
            </w:r>
          </w:p>
        </w:tc>
        <w:tc>
          <w:tcPr>
            <w:tcW w:w="6612" w:type="dxa"/>
          </w:tcPr>
          <w:p w14:paraId="641A6B17">
            <w:pPr>
              <w:pStyle w:val="22"/>
              <w:spacing w:before="0" w:beforeAutospacing="0" w:after="0" w:afterAutospacing="0"/>
              <w:rPr>
                <w:rFonts w:hint="default" w:ascii="Arial" w:hAnsi="Arial" w:cs="Arial" w:eastAsiaTheme="minorHAnsi"/>
                <w:sz w:val="22"/>
                <w:szCs w:val="22"/>
                <w:highlight w:val="none"/>
                <w:lang w:val="es-ES" w:eastAsia="en-US"/>
              </w:rPr>
            </w:pPr>
            <w:r>
              <w:rPr>
                <w:rFonts w:hint="default" w:ascii="Arial" w:hAnsi="Arial" w:cs="Arial" w:eastAsiaTheme="minorHAnsi"/>
                <w:sz w:val="22"/>
                <w:szCs w:val="22"/>
                <w:highlight w:val="none"/>
                <w:lang w:val="es-ES" w:eastAsia="en-US"/>
              </w:rPr>
              <w:t>-</w:t>
            </w:r>
          </w:p>
        </w:tc>
      </w:tr>
    </w:tbl>
    <w:p w14:paraId="5E78B8A8">
      <w:pPr>
        <w:rPr>
          <w:rFonts w:hint="default"/>
          <w:highlight w:val="none"/>
          <w:lang w:val="es-ES"/>
        </w:rPr>
      </w:pPr>
      <w:bookmarkStart w:id="135" w:name="_GoBack"/>
      <w:bookmarkEnd w:id="135"/>
    </w:p>
    <w:p w14:paraId="731A6A55">
      <w:pPr>
        <w:pStyle w:val="35"/>
        <w:snapToGrid w:val="0"/>
        <w:spacing w:after="0"/>
        <w:ind w:left="0"/>
        <w:contextualSpacing w:val="0"/>
        <w:rPr>
          <w:rFonts w:hint="default"/>
          <w:highlight w:val="none"/>
          <w:lang w:val="es-ES"/>
        </w:rPr>
      </w:pPr>
      <w:r>
        <w:rPr>
          <w:highlight w:val="none"/>
          <w:lang w:val="en-US"/>
        </w:rPr>
        <w:t xml:space="preserve">Data/Parameter </w:t>
      </w:r>
      <w:r>
        <w:rPr>
          <w:rFonts w:hint="default"/>
          <w:highlight w:val="none"/>
          <w:lang w:val="es-ES"/>
        </w:rPr>
        <w:t>8</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7332"/>
      </w:tblGrid>
      <w:tr w14:paraId="7849288C">
        <w:tc>
          <w:tcPr>
            <w:tcW w:w="1912" w:type="dxa"/>
            <w:shd w:val="clear" w:color="auto" w:fill="F1F1F1" w:themeFill="background1" w:themeFillShade="F2"/>
          </w:tcPr>
          <w:p w14:paraId="1BA57C22">
            <w:pPr>
              <w:pStyle w:val="35"/>
              <w:snapToGrid w:val="0"/>
              <w:spacing w:before="0" w:after="0"/>
              <w:ind w:left="0"/>
              <w:contextualSpacing w:val="0"/>
              <w:rPr>
                <w:highlight w:val="none"/>
                <w:lang w:val="en-US"/>
              </w:rPr>
            </w:pPr>
            <w:r>
              <w:rPr>
                <w:highlight w:val="none"/>
                <w:lang w:val="en-US"/>
              </w:rPr>
              <w:t>Data/Parameter</w:t>
            </w:r>
          </w:p>
        </w:tc>
        <w:tc>
          <w:tcPr>
            <w:tcW w:w="6576" w:type="dxa"/>
          </w:tcPr>
          <w:p w14:paraId="02C48B0F">
            <w:pPr>
              <w:spacing w:before="0" w:after="0"/>
              <w:rPr>
                <w:b/>
                <w:bCs/>
                <w:i/>
                <w:iCs/>
                <w:highlight w:val="none"/>
                <w:lang w:val="en-US"/>
              </w:rPr>
            </w:pPr>
            <w:r>
              <w:rPr>
                <w:b/>
                <w:bCs/>
                <w:i/>
                <w:iCs/>
                <w:highlight w:val="none"/>
                <w:lang w:val="en-US"/>
              </w:rPr>
              <w:t>Q</w:t>
            </w:r>
            <w:r>
              <w:rPr>
                <w:b/>
                <w:bCs/>
                <w:i/>
                <w:iCs/>
                <w:highlight w:val="none"/>
                <w:vertAlign w:val="subscript"/>
                <w:lang w:val="en-US"/>
              </w:rPr>
              <w:t>y</w:t>
            </w:r>
          </w:p>
        </w:tc>
      </w:tr>
      <w:tr w14:paraId="7FD5D87D">
        <w:tc>
          <w:tcPr>
            <w:tcW w:w="1912" w:type="dxa"/>
            <w:shd w:val="clear" w:color="auto" w:fill="F1F1F1" w:themeFill="background1" w:themeFillShade="F2"/>
          </w:tcPr>
          <w:p w14:paraId="38BE9748">
            <w:pPr>
              <w:pStyle w:val="35"/>
              <w:snapToGrid w:val="0"/>
              <w:spacing w:before="0" w:after="0"/>
              <w:ind w:left="0"/>
              <w:contextualSpacing w:val="0"/>
              <w:rPr>
                <w:highlight w:val="none"/>
                <w:lang w:val="en-US"/>
              </w:rPr>
            </w:pPr>
            <w:r>
              <w:rPr>
                <w:highlight w:val="none"/>
                <w:lang w:val="en-US"/>
              </w:rPr>
              <w:t>Data unit</w:t>
            </w:r>
          </w:p>
        </w:tc>
        <w:tc>
          <w:tcPr>
            <w:tcW w:w="6576" w:type="dxa"/>
          </w:tcPr>
          <w:p w14:paraId="7AD02F1E">
            <w:pPr>
              <w:pStyle w:val="35"/>
              <w:snapToGrid w:val="0"/>
              <w:spacing w:before="0" w:after="0"/>
              <w:ind w:left="0"/>
              <w:contextualSpacing w:val="0"/>
              <w:rPr>
                <w:highlight w:val="none"/>
                <w:lang w:val="en-US"/>
              </w:rPr>
            </w:pPr>
            <w:r>
              <w:rPr>
                <w:highlight w:val="none"/>
                <w:lang w:val="en-US"/>
              </w:rPr>
              <w:t>t</w:t>
            </w:r>
          </w:p>
        </w:tc>
      </w:tr>
      <w:tr w14:paraId="55924C8C">
        <w:tc>
          <w:tcPr>
            <w:tcW w:w="1912" w:type="dxa"/>
            <w:shd w:val="clear" w:color="auto" w:fill="F1F1F1" w:themeFill="background1" w:themeFillShade="F2"/>
          </w:tcPr>
          <w:p w14:paraId="644F7DD6">
            <w:pPr>
              <w:pStyle w:val="35"/>
              <w:snapToGrid w:val="0"/>
              <w:spacing w:before="0" w:after="0"/>
              <w:ind w:left="0"/>
              <w:contextualSpacing w:val="0"/>
              <w:rPr>
                <w:highlight w:val="none"/>
                <w:lang w:val="en-US"/>
              </w:rPr>
            </w:pPr>
            <w:r>
              <w:rPr>
                <w:highlight w:val="none"/>
                <w:lang w:val="en-US"/>
              </w:rPr>
              <w:t>Description</w:t>
            </w:r>
          </w:p>
        </w:tc>
        <w:tc>
          <w:tcPr>
            <w:tcW w:w="6576" w:type="dxa"/>
          </w:tcPr>
          <w:p w14:paraId="10C98F42">
            <w:pPr>
              <w:snapToGrid w:val="0"/>
              <w:spacing w:before="0" w:after="0"/>
              <w:rPr>
                <w:highlight w:val="none"/>
                <w:lang w:val="en-US"/>
              </w:rPr>
            </w:pPr>
            <w:r>
              <w:rPr>
                <w:highlight w:val="none"/>
                <w:lang w:val="en-US"/>
              </w:rPr>
              <w:t>Quantity of waste composted in year y</w:t>
            </w:r>
          </w:p>
        </w:tc>
      </w:tr>
      <w:tr w14:paraId="5AA0DCFD">
        <w:tc>
          <w:tcPr>
            <w:tcW w:w="1912" w:type="dxa"/>
            <w:shd w:val="clear" w:color="auto" w:fill="F1F1F1" w:themeFill="background1" w:themeFillShade="F2"/>
          </w:tcPr>
          <w:p w14:paraId="3A15D314">
            <w:pPr>
              <w:pStyle w:val="35"/>
              <w:snapToGrid w:val="0"/>
              <w:spacing w:before="0" w:after="0"/>
              <w:ind w:left="0"/>
              <w:contextualSpacing w:val="0"/>
              <w:rPr>
                <w:highlight w:val="none"/>
                <w:lang w:val="en-US"/>
              </w:rPr>
            </w:pPr>
            <w:r>
              <w:rPr>
                <w:highlight w:val="none"/>
                <w:lang w:val="en-US"/>
              </w:rPr>
              <w:t>Source data</w:t>
            </w:r>
          </w:p>
        </w:tc>
        <w:tc>
          <w:tcPr>
            <w:tcW w:w="6576" w:type="dxa"/>
          </w:tcPr>
          <w:p w14:paraId="5652F82B">
            <w:pPr>
              <w:snapToGrid w:val="0"/>
              <w:spacing w:before="0" w:after="0"/>
              <w:rPr>
                <w:highlight w:val="none"/>
                <w:lang w:val="en-US"/>
              </w:rPr>
            </w:pPr>
            <w:r>
              <w:rPr>
                <w:highlight w:val="none"/>
                <w:lang w:val="en-US"/>
              </w:rPr>
              <w:t>Measurements by project holder.</w:t>
            </w:r>
          </w:p>
        </w:tc>
      </w:tr>
      <w:tr w14:paraId="73965217">
        <w:tc>
          <w:tcPr>
            <w:tcW w:w="1912" w:type="dxa"/>
            <w:shd w:val="clear" w:color="auto" w:fill="F1F1F1" w:themeFill="background1" w:themeFillShade="F2"/>
          </w:tcPr>
          <w:p w14:paraId="1F10F4E0">
            <w:pPr>
              <w:pStyle w:val="35"/>
              <w:snapToGrid w:val="0"/>
              <w:spacing w:before="0" w:after="0"/>
              <w:ind w:left="0"/>
              <w:contextualSpacing w:val="0"/>
              <w:rPr>
                <w:highlight w:val="none"/>
                <w:lang w:val="en-US"/>
              </w:rPr>
            </w:pPr>
            <w:r>
              <w:rPr>
                <w:highlight w:val="none"/>
                <w:lang w:val="en-US"/>
              </w:rPr>
              <w:t>Value applied</w:t>
            </w:r>
          </w:p>
        </w:tc>
        <w:tc>
          <w:tcPr>
            <w:tcW w:w="6576" w:type="dxa"/>
          </w:tcPr>
          <w:p w14:paraId="6B51DC70">
            <w:pPr>
              <w:pStyle w:val="35"/>
              <w:snapToGrid w:val="0"/>
              <w:spacing w:before="0" w:after="0"/>
              <w:ind w:left="0"/>
              <w:contextualSpacing w:val="0"/>
              <w:rPr>
                <w:rFonts w:hint="default"/>
                <w:highlight w:val="none"/>
                <w:lang w:val="es-ES"/>
              </w:rPr>
            </w:pPr>
            <w:r>
              <w:rPr>
                <w:highlight w:val="none"/>
                <w:lang w:val="en-US"/>
              </w:rPr>
              <w:t>Since the measurement of the amount of solid waste has an 2% of uncertainly, the final values applied are</w:t>
            </w:r>
            <w:r>
              <w:rPr>
                <w:rFonts w:hint="default"/>
                <w:highlight w:val="none"/>
                <w:lang w:val="es-ES"/>
              </w:rPr>
              <w:t xml:space="preserve"> above</w:t>
            </w:r>
          </w:p>
          <w:tbl>
            <w:tblPr>
              <w:tblStyle w:val="12"/>
              <w:tblW w:w="64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6"/>
              <w:gridCol w:w="1260"/>
              <w:gridCol w:w="1260"/>
              <w:gridCol w:w="1260"/>
              <w:gridCol w:w="1260"/>
              <w:gridCol w:w="1260"/>
            </w:tblGrid>
            <w:tr w14:paraId="2B31853A">
              <w:trPr>
                <w:trHeight w:val="1216" w:hRule="atLeast"/>
                <w:jc w:val="center"/>
              </w:trPr>
              <w:tc>
                <w:tcPr>
                  <w:tcW w:w="743" w:type="dxa"/>
                  <w:tcBorders>
                    <w:top w:val="single" w:color="000000" w:sz="8" w:space="0"/>
                    <w:left w:val="single" w:color="000000" w:sz="8" w:space="0"/>
                    <w:bottom w:val="single" w:color="000000" w:sz="4" w:space="0"/>
                    <w:right w:val="single" w:color="000000" w:sz="4" w:space="0"/>
                  </w:tcBorders>
                  <w:shd w:val="clear" w:color="auto" w:fill="FFFFFF" w:themeFill="background1"/>
                  <w:noWrap/>
                  <w:vAlign w:val="center"/>
                </w:tcPr>
                <w:p w14:paraId="5EBEB32A">
                  <w:pPr>
                    <w:spacing w:before="0" w:after="0"/>
                    <w:jc w:val="center"/>
                    <w:rPr>
                      <w:rFonts w:hint="default"/>
                      <w:color w:val="000000" w:themeColor="text1"/>
                      <w:highlight w:val="none"/>
                      <w:lang w:val="es-ES"/>
                      <w14:textFill>
                        <w14:solidFill>
                          <w14:schemeClr w14:val="tx1"/>
                        </w14:solidFill>
                      </w14:textFill>
                    </w:rPr>
                  </w:pPr>
                  <w:r>
                    <w:rPr>
                      <w:rFonts w:hint="default"/>
                      <w:color w:val="000000" w:themeColor="text1"/>
                      <w:highlight w:val="none"/>
                      <w:lang w:val="es-ES"/>
                      <w14:textFill>
                        <w14:solidFill>
                          <w14:schemeClr w14:val="tx1"/>
                        </w14:solidFill>
                      </w14:textFill>
                    </w:rPr>
                    <w:t>PERIOD / YEAR</w:t>
                  </w:r>
                </w:p>
              </w:tc>
              <w:tc>
                <w:tcPr>
                  <w:tcW w:w="1132"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792DD22F">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1</w:t>
                  </w:r>
                </w:p>
                <w:p w14:paraId="17EDC774">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/2018-31/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/2019</w:t>
                  </w:r>
                </w:p>
              </w:tc>
              <w:tc>
                <w:tcPr>
                  <w:tcW w:w="1132"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5EE69210">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2</w:t>
                  </w:r>
                </w:p>
                <w:p w14:paraId="4889794C">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/2019-31/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/2020</w:t>
                  </w:r>
                </w:p>
              </w:tc>
              <w:tc>
                <w:tcPr>
                  <w:tcW w:w="1132"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75DF2740">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3</w:t>
                  </w:r>
                </w:p>
                <w:p w14:paraId="714AC9F1">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/2020-31/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/2021</w:t>
                  </w:r>
                </w:p>
              </w:tc>
              <w:tc>
                <w:tcPr>
                  <w:tcW w:w="1132"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7A427FF8">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4</w:t>
                  </w:r>
                </w:p>
                <w:p w14:paraId="2274744D">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/2021-31/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/2022</w:t>
                  </w:r>
                </w:p>
              </w:tc>
              <w:tc>
                <w:tcPr>
                  <w:tcW w:w="1132"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6B9FAFC0">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5</w:t>
                  </w:r>
                </w:p>
                <w:p w14:paraId="45C82CB6">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/2022-31/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/2023</w:t>
                  </w:r>
                </w:p>
              </w:tc>
            </w:tr>
            <w:tr w14:paraId="7114B851">
              <w:trPr>
                <w:trHeight w:val="411" w:hRule="atLeast"/>
                <w:jc w:val="center"/>
              </w:trPr>
              <w:tc>
                <w:tcPr>
                  <w:tcW w:w="743" w:type="dxa"/>
                  <w:tcBorders>
                    <w:top w:val="single" w:color="000000" w:sz="4" w:space="0"/>
                    <w:left w:val="single" w:color="000000" w:sz="8" w:space="0"/>
                    <w:bottom w:val="single" w:color="000000" w:sz="8" w:space="0"/>
                    <w:right w:val="single" w:color="000000" w:sz="4" w:space="0"/>
                  </w:tcBorders>
                  <w:shd w:val="clear" w:color="auto" w:fill="FFFFFF" w:themeFill="background1"/>
                  <w:noWrap/>
                  <w:vAlign w:val="center"/>
                </w:tcPr>
                <w:p w14:paraId="2FE3CB77">
                  <w:pPr>
                    <w:spacing w:before="0" w:after="0"/>
                    <w:jc w:val="center"/>
                    <w:rPr>
                      <w:rFonts w:hint="default"/>
                      <w:color w:val="000000" w:themeColor="text1"/>
                      <w:highlight w:val="none"/>
                      <w14:textFill>
                        <w14:solidFill>
                          <w14:schemeClr w14:val="tx1"/>
                        </w14:solidFill>
                      </w14:textFill>
                    </w:rPr>
                  </w:pPr>
                  <w:r>
                    <w:rPr>
                      <w:rFonts w:hint="default"/>
                      <w:bCs/>
                      <w:color w:val="000000" w:themeColor="text1"/>
                      <w:highlight w:val="none"/>
                      <w:vertAlign w:val="baseline"/>
                      <w:lang w:val="es-ES"/>
                      <w14:textFill>
                        <w14:solidFill>
                          <w14:schemeClr w14:val="tx1"/>
                        </w14:solidFill>
                      </w14:textFill>
                    </w:rPr>
                    <w:t>Q</w:t>
                  </w:r>
                  <w:r>
                    <w:rPr>
                      <w:rFonts w:hint="default"/>
                      <w:bCs/>
                      <w:color w:val="000000" w:themeColor="text1"/>
                      <w:highlight w:val="none"/>
                      <w:vertAlign w:val="subscript"/>
                      <w:lang w:val="es-ES"/>
                      <w14:textFill>
                        <w14:solidFill>
                          <w14:schemeClr w14:val="tx1"/>
                        </w14:solidFill>
                      </w14:textFill>
                    </w:rPr>
                    <w:t>y</w:t>
                  </w:r>
                  <w:r>
                    <w:rPr>
                      <w:bCs/>
                      <w:color w:val="000000" w:themeColor="text1"/>
                      <w:highlight w:val="none"/>
                      <w:lang w:val="en-US"/>
                      <w14:textFill>
                        <w14:solidFill>
                          <w14:schemeClr w14:val="tx1"/>
                        </w14:solidFill>
                      </w14:textFill>
                    </w:rPr>
                    <w:t xml:space="preserve"> (t)</w:t>
                  </w:r>
                </w:p>
              </w:tc>
              <w:tc>
                <w:tcPr>
                  <w:tcW w:w="1132"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205D3229">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12,046.71 </w:t>
                  </w:r>
                </w:p>
              </w:tc>
              <w:tc>
                <w:tcPr>
                  <w:tcW w:w="1132"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4ADC12A7">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16,520.30 </w:t>
                  </w:r>
                </w:p>
              </w:tc>
              <w:tc>
                <w:tcPr>
                  <w:tcW w:w="1132"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222E30FB">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13,893.60 </w:t>
                  </w:r>
                </w:p>
              </w:tc>
              <w:tc>
                <w:tcPr>
                  <w:tcW w:w="1132"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44339FCD">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16,800.88 </w:t>
                  </w:r>
                </w:p>
              </w:tc>
              <w:tc>
                <w:tcPr>
                  <w:tcW w:w="1132"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6CB0BD69">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16,182.50 </w:t>
                  </w:r>
                </w:p>
              </w:tc>
            </w:tr>
          </w:tbl>
          <w:p w14:paraId="25086854">
            <w:pPr>
              <w:pStyle w:val="35"/>
              <w:snapToGrid w:val="0"/>
              <w:spacing w:before="0" w:after="0"/>
              <w:ind w:left="0"/>
              <w:contextualSpacing w:val="0"/>
              <w:rPr>
                <w:highlight w:val="none"/>
                <w:lang w:val="en-US"/>
              </w:rPr>
            </w:pPr>
          </w:p>
        </w:tc>
      </w:tr>
      <w:tr w14:paraId="1275FA68">
        <w:tc>
          <w:tcPr>
            <w:tcW w:w="1912" w:type="dxa"/>
            <w:shd w:val="clear" w:color="auto" w:fill="F1F1F1" w:themeFill="background1" w:themeFillShade="F2"/>
          </w:tcPr>
          <w:p w14:paraId="45FE17E7">
            <w:pPr>
              <w:pStyle w:val="35"/>
              <w:snapToGrid w:val="0"/>
              <w:spacing w:before="0" w:after="0"/>
              <w:ind w:left="0"/>
              <w:contextualSpacing w:val="0"/>
              <w:rPr>
                <w:highlight w:val="none"/>
                <w:lang w:val="en-US"/>
              </w:rPr>
            </w:pPr>
            <w:r>
              <w:rPr>
                <w:highlight w:val="none"/>
                <w:lang w:val="en-US"/>
              </w:rPr>
              <w:t>Justification of choice of data or description of measurement methods and procedures applied</w:t>
            </w:r>
          </w:p>
        </w:tc>
        <w:tc>
          <w:tcPr>
            <w:tcW w:w="6576" w:type="dxa"/>
          </w:tcPr>
          <w:p w14:paraId="6E0EA2F9">
            <w:pPr>
              <w:rPr>
                <w:highlight w:val="none"/>
                <w:lang w:val="en-US"/>
              </w:rPr>
            </w:pPr>
            <w:r>
              <w:rPr>
                <w:highlight w:val="none"/>
                <w:lang w:val="en-US"/>
              </w:rPr>
              <w:t>According to paragraph 14, of the methodological tool 13 “</w:t>
            </w:r>
            <w:r>
              <w:rPr>
                <w:i/>
                <w:iCs/>
                <w:highlight w:val="none"/>
                <w:lang w:val="en-US"/>
              </w:rPr>
              <w:t>Project and leakage emission from composting</w:t>
            </w:r>
            <w:r>
              <w:rPr>
                <w:highlight w:val="none"/>
                <w:lang w:val="en-US"/>
              </w:rPr>
              <w:t>”, option 1, the composting installation monitor the weight of waste delivered using an on-site weighbridge or any other applicable and calibrated weighing device. So, Qy</w:t>
            </w:r>
            <w:r>
              <w:rPr>
                <w:highlight w:val="none"/>
                <w:vertAlign w:val="subscript"/>
                <w:lang w:val="en-US"/>
              </w:rPr>
              <w:t xml:space="preserve"> </w:t>
            </w:r>
            <w:r>
              <w:rPr>
                <w:highlight w:val="none"/>
                <w:lang w:val="en-US"/>
              </w:rPr>
              <w:t>and W</w:t>
            </w:r>
            <w:r>
              <w:rPr>
                <w:highlight w:val="none"/>
                <w:vertAlign w:val="subscript"/>
                <w:lang w:val="en-US"/>
              </w:rPr>
              <w:t>j</w:t>
            </w:r>
            <w:r>
              <w:rPr>
                <w:highlight w:val="none"/>
                <w:lang w:val="en-US"/>
              </w:rPr>
              <w:t xml:space="preserve"> has the save values.</w:t>
            </w:r>
          </w:p>
        </w:tc>
      </w:tr>
      <w:tr w14:paraId="3B9C631F">
        <w:tc>
          <w:tcPr>
            <w:tcW w:w="1912" w:type="dxa"/>
            <w:shd w:val="clear" w:color="auto" w:fill="F1F1F1" w:themeFill="background1" w:themeFillShade="F2"/>
          </w:tcPr>
          <w:p w14:paraId="6DD813B4">
            <w:pPr>
              <w:pStyle w:val="35"/>
              <w:snapToGrid w:val="0"/>
              <w:spacing w:before="0" w:after="0"/>
              <w:ind w:left="0"/>
              <w:contextualSpacing w:val="0"/>
              <w:rPr>
                <w:highlight w:val="none"/>
                <w:lang w:val="en-US"/>
              </w:rPr>
            </w:pPr>
            <w:r>
              <w:rPr>
                <w:highlight w:val="none"/>
                <w:lang w:val="en-US"/>
              </w:rPr>
              <w:t>Purpose of data</w:t>
            </w:r>
          </w:p>
        </w:tc>
        <w:tc>
          <w:tcPr>
            <w:tcW w:w="6576" w:type="dxa"/>
          </w:tcPr>
          <w:p w14:paraId="682F92B4">
            <w:pPr>
              <w:pStyle w:val="22"/>
              <w:spacing w:before="0" w:beforeAutospacing="0" w:after="0" w:afterAutospacing="0"/>
              <w:rPr>
                <w:rFonts w:ascii="Arial" w:hAnsi="Arial" w:cs="Arial" w:eastAsiaTheme="minorHAnsi"/>
                <w:sz w:val="22"/>
                <w:szCs w:val="22"/>
                <w:highlight w:val="none"/>
                <w:lang w:eastAsia="en-US"/>
              </w:rPr>
            </w:pPr>
            <w:r>
              <w:rPr>
                <w:rFonts w:ascii="Arial" w:hAnsi="Arial" w:cs="Arial" w:eastAsiaTheme="minorHAnsi"/>
                <w:sz w:val="22"/>
                <w:szCs w:val="22"/>
                <w:highlight w:val="none"/>
                <w:lang w:eastAsia="en-US"/>
              </w:rPr>
              <w:t>Determination of the project emissions.</w:t>
            </w:r>
          </w:p>
        </w:tc>
      </w:tr>
      <w:tr w14:paraId="1714391F">
        <w:trPr>
          <w:trHeight w:val="467" w:hRule="atLeast"/>
        </w:trPr>
        <w:tc>
          <w:tcPr>
            <w:tcW w:w="1912" w:type="dxa"/>
            <w:shd w:val="clear" w:color="auto" w:fill="F1F1F1" w:themeFill="background1" w:themeFillShade="F2"/>
          </w:tcPr>
          <w:p w14:paraId="2559FE9A">
            <w:pPr>
              <w:pStyle w:val="35"/>
              <w:snapToGrid w:val="0"/>
              <w:spacing w:before="0" w:after="0"/>
              <w:ind w:left="0"/>
              <w:contextualSpacing w:val="0"/>
              <w:rPr>
                <w:highlight w:val="none"/>
                <w:lang w:val="en-US"/>
              </w:rPr>
            </w:pPr>
            <w:r>
              <w:rPr>
                <w:highlight w:val="none"/>
                <w:lang w:val="en-US"/>
              </w:rPr>
              <w:t>Monitoring frequency</w:t>
            </w:r>
          </w:p>
        </w:tc>
        <w:tc>
          <w:tcPr>
            <w:tcW w:w="6576" w:type="dxa"/>
          </w:tcPr>
          <w:p w14:paraId="25868C44">
            <w:pPr>
              <w:pStyle w:val="22"/>
              <w:spacing w:before="0" w:beforeAutospacing="0" w:after="0" w:afterAutospacing="0"/>
              <w:rPr>
                <w:rFonts w:ascii="Arial" w:hAnsi="Arial" w:cs="Arial" w:eastAsiaTheme="minorHAnsi"/>
                <w:sz w:val="22"/>
                <w:szCs w:val="22"/>
                <w:highlight w:val="none"/>
                <w:lang w:eastAsia="en-US"/>
              </w:rPr>
            </w:pPr>
            <w:r>
              <w:rPr>
                <w:rFonts w:ascii="Arial" w:hAnsi="Arial" w:cs="Arial" w:eastAsiaTheme="minorHAnsi"/>
                <w:sz w:val="22"/>
                <w:szCs w:val="22"/>
                <w:highlight w:val="none"/>
                <w:lang w:eastAsia="en-US"/>
              </w:rPr>
              <w:t>Monitored continuously with the entrance of each truck at the plant.</w:t>
            </w:r>
          </w:p>
        </w:tc>
      </w:tr>
      <w:tr w14:paraId="5664FD95">
        <w:trPr>
          <w:trHeight w:val="467" w:hRule="atLeast"/>
        </w:trPr>
        <w:tc>
          <w:tcPr>
            <w:tcW w:w="1912" w:type="dxa"/>
            <w:shd w:val="clear" w:color="auto" w:fill="F1F1F1" w:themeFill="background1" w:themeFillShade="F2"/>
          </w:tcPr>
          <w:p w14:paraId="2952D436">
            <w:pPr>
              <w:pStyle w:val="35"/>
              <w:snapToGrid w:val="0"/>
              <w:spacing w:before="0" w:after="0"/>
              <w:ind w:left="0"/>
              <w:contextualSpacing w:val="0"/>
              <w:rPr>
                <w:highlight w:val="none"/>
                <w:lang w:val="en-US"/>
              </w:rPr>
            </w:pPr>
            <w:r>
              <w:rPr>
                <w:highlight w:val="none"/>
                <w:lang w:val="en-US"/>
              </w:rPr>
              <w:t>Any comments</w:t>
            </w:r>
          </w:p>
        </w:tc>
        <w:tc>
          <w:tcPr>
            <w:tcW w:w="6576" w:type="dxa"/>
          </w:tcPr>
          <w:p w14:paraId="3797A630">
            <w:pPr>
              <w:pStyle w:val="22"/>
              <w:spacing w:before="0" w:beforeAutospacing="0" w:after="0" w:afterAutospacing="0"/>
              <w:rPr>
                <w:rFonts w:hint="default" w:ascii="Arial" w:hAnsi="Arial" w:cs="Arial" w:eastAsiaTheme="minorHAnsi"/>
                <w:sz w:val="22"/>
                <w:szCs w:val="22"/>
                <w:highlight w:val="none"/>
                <w:lang w:val="es-ES" w:eastAsia="en-US"/>
              </w:rPr>
            </w:pPr>
            <w:r>
              <w:rPr>
                <w:rFonts w:hint="default" w:ascii="Arial" w:hAnsi="Arial" w:cs="Arial" w:eastAsiaTheme="minorHAnsi"/>
                <w:sz w:val="22"/>
                <w:szCs w:val="22"/>
                <w:highlight w:val="none"/>
                <w:lang w:val="es-ES" w:eastAsia="en-US"/>
              </w:rPr>
              <w:t>-</w:t>
            </w:r>
          </w:p>
        </w:tc>
      </w:tr>
    </w:tbl>
    <w:p w14:paraId="48C50CCE">
      <w:pPr>
        <w:rPr>
          <w:i/>
          <w:iCs/>
          <w:highlight w:val="none"/>
          <w:lang w:val="en-US"/>
        </w:rPr>
      </w:pPr>
    </w:p>
    <w:p w14:paraId="4EFAD148">
      <w:pPr>
        <w:pStyle w:val="35"/>
        <w:snapToGrid w:val="0"/>
        <w:spacing w:after="0"/>
        <w:ind w:left="0"/>
        <w:contextualSpacing w:val="0"/>
        <w:rPr>
          <w:rFonts w:hint="default"/>
          <w:highlight w:val="none"/>
          <w:lang w:val="es-ES"/>
        </w:rPr>
      </w:pPr>
      <w:r>
        <w:rPr>
          <w:highlight w:val="none"/>
          <w:lang w:val="en-US"/>
        </w:rPr>
        <w:t xml:space="preserve">Data/Parameter </w:t>
      </w:r>
      <w:r>
        <w:rPr>
          <w:rFonts w:hint="default"/>
          <w:highlight w:val="none"/>
          <w:lang w:val="es-ES"/>
        </w:rPr>
        <w:t>9</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7333"/>
      </w:tblGrid>
      <w:tr w14:paraId="674208FD">
        <w:tc>
          <w:tcPr>
            <w:tcW w:w="1881" w:type="dxa"/>
            <w:shd w:val="clear" w:color="auto" w:fill="F1F1F1" w:themeFill="background1" w:themeFillShade="F2"/>
          </w:tcPr>
          <w:p w14:paraId="75905F27">
            <w:pPr>
              <w:pStyle w:val="35"/>
              <w:snapToGrid w:val="0"/>
              <w:spacing w:before="0" w:after="0"/>
              <w:ind w:left="0"/>
              <w:contextualSpacing w:val="0"/>
              <w:rPr>
                <w:highlight w:val="none"/>
                <w:lang w:val="en-US"/>
              </w:rPr>
            </w:pPr>
            <w:r>
              <w:rPr>
                <w:highlight w:val="none"/>
                <w:lang w:val="en-US"/>
              </w:rPr>
              <w:t>Data/Parameter</w:t>
            </w:r>
          </w:p>
        </w:tc>
        <w:tc>
          <w:tcPr>
            <w:tcW w:w="6607" w:type="dxa"/>
          </w:tcPr>
          <w:p w14:paraId="49B57249">
            <w:pPr>
              <w:spacing w:before="0" w:after="0"/>
              <w:rPr>
                <w:b/>
                <w:bCs/>
                <w:i/>
                <w:iCs/>
                <w:highlight w:val="none"/>
                <w:lang w:val="en-US"/>
              </w:rPr>
            </w:pPr>
            <w:r>
              <w:rPr>
                <w:b/>
                <w:bCs/>
                <w:i/>
                <w:iCs/>
                <w:highlight w:val="none"/>
                <w:lang w:val="en-US"/>
              </w:rPr>
              <w:t>FC</w:t>
            </w:r>
            <w:r>
              <w:rPr>
                <w:b/>
                <w:bCs/>
                <w:i/>
                <w:iCs/>
                <w:highlight w:val="none"/>
                <w:vertAlign w:val="subscript"/>
                <w:lang w:val="en-US"/>
              </w:rPr>
              <w:t>,i,y</w:t>
            </w:r>
          </w:p>
        </w:tc>
      </w:tr>
      <w:tr w14:paraId="152E23DB">
        <w:tc>
          <w:tcPr>
            <w:tcW w:w="1881" w:type="dxa"/>
            <w:shd w:val="clear" w:color="auto" w:fill="F1F1F1" w:themeFill="background1" w:themeFillShade="F2"/>
          </w:tcPr>
          <w:p w14:paraId="1D24F83D">
            <w:pPr>
              <w:pStyle w:val="35"/>
              <w:snapToGrid w:val="0"/>
              <w:spacing w:before="0" w:after="0"/>
              <w:ind w:left="0"/>
              <w:contextualSpacing w:val="0"/>
              <w:rPr>
                <w:highlight w:val="none"/>
                <w:lang w:val="en-US"/>
              </w:rPr>
            </w:pPr>
            <w:r>
              <w:rPr>
                <w:highlight w:val="none"/>
                <w:lang w:val="en-US"/>
              </w:rPr>
              <w:t>Data unit</w:t>
            </w:r>
          </w:p>
        </w:tc>
        <w:tc>
          <w:tcPr>
            <w:tcW w:w="6607" w:type="dxa"/>
          </w:tcPr>
          <w:p w14:paraId="6CA6EE7D">
            <w:pPr>
              <w:pStyle w:val="35"/>
              <w:snapToGrid w:val="0"/>
              <w:spacing w:before="0" w:after="0"/>
              <w:ind w:left="0"/>
              <w:contextualSpacing w:val="0"/>
              <w:rPr>
                <w:highlight w:val="none"/>
                <w:lang w:val="en-US"/>
              </w:rPr>
            </w:pPr>
            <w:r>
              <w:rPr>
                <w:highlight w:val="none"/>
                <w:lang w:val="en-US"/>
              </w:rPr>
              <w:t>Liters per year</w:t>
            </w:r>
          </w:p>
        </w:tc>
      </w:tr>
      <w:tr w14:paraId="1D1A83D8">
        <w:tc>
          <w:tcPr>
            <w:tcW w:w="1881" w:type="dxa"/>
            <w:shd w:val="clear" w:color="auto" w:fill="F1F1F1" w:themeFill="background1" w:themeFillShade="F2"/>
          </w:tcPr>
          <w:p w14:paraId="15331D8B">
            <w:pPr>
              <w:pStyle w:val="35"/>
              <w:snapToGrid w:val="0"/>
              <w:spacing w:before="0" w:after="0"/>
              <w:ind w:left="0"/>
              <w:contextualSpacing w:val="0"/>
              <w:rPr>
                <w:highlight w:val="none"/>
                <w:lang w:val="en-US"/>
              </w:rPr>
            </w:pPr>
            <w:r>
              <w:rPr>
                <w:highlight w:val="none"/>
                <w:lang w:val="en-US"/>
              </w:rPr>
              <w:t>Description</w:t>
            </w:r>
          </w:p>
        </w:tc>
        <w:tc>
          <w:tcPr>
            <w:tcW w:w="6607" w:type="dxa"/>
          </w:tcPr>
          <w:p w14:paraId="7095B2CC">
            <w:pPr>
              <w:snapToGrid w:val="0"/>
              <w:spacing w:before="0" w:after="0"/>
              <w:rPr>
                <w:highlight w:val="none"/>
                <w:lang w:val="en-US"/>
              </w:rPr>
            </w:pPr>
            <w:r>
              <w:rPr>
                <w:highlight w:val="none"/>
                <w:lang w:val="en-US"/>
              </w:rPr>
              <w:t>Fossil fuel consumption</w:t>
            </w:r>
          </w:p>
        </w:tc>
      </w:tr>
      <w:tr w14:paraId="381C0A06">
        <w:tc>
          <w:tcPr>
            <w:tcW w:w="1881" w:type="dxa"/>
            <w:shd w:val="clear" w:color="auto" w:fill="F1F1F1" w:themeFill="background1" w:themeFillShade="F2"/>
          </w:tcPr>
          <w:p w14:paraId="57516BDF">
            <w:pPr>
              <w:pStyle w:val="35"/>
              <w:snapToGrid w:val="0"/>
              <w:spacing w:before="0" w:after="0"/>
              <w:ind w:left="0"/>
              <w:contextualSpacing w:val="0"/>
              <w:rPr>
                <w:highlight w:val="none"/>
                <w:lang w:val="en-US"/>
              </w:rPr>
            </w:pPr>
            <w:r>
              <w:rPr>
                <w:highlight w:val="none"/>
                <w:lang w:val="en-US"/>
              </w:rPr>
              <w:t>Source data</w:t>
            </w:r>
          </w:p>
        </w:tc>
        <w:tc>
          <w:tcPr>
            <w:tcW w:w="6607" w:type="dxa"/>
          </w:tcPr>
          <w:p w14:paraId="7C879A9B">
            <w:pPr>
              <w:snapToGrid w:val="0"/>
              <w:spacing w:before="0" w:after="0"/>
              <w:rPr>
                <w:highlight w:val="none"/>
                <w:lang w:val="en-US"/>
              </w:rPr>
            </w:pPr>
            <w:r>
              <w:rPr>
                <w:highlight w:val="none"/>
                <w:lang w:val="en-US"/>
              </w:rPr>
              <w:t>Measurements by project holder.</w:t>
            </w:r>
          </w:p>
        </w:tc>
      </w:tr>
      <w:tr w14:paraId="7CABE6FC">
        <w:tc>
          <w:tcPr>
            <w:tcW w:w="1881" w:type="dxa"/>
            <w:shd w:val="clear" w:color="auto" w:fill="F1F1F1" w:themeFill="background1" w:themeFillShade="F2"/>
          </w:tcPr>
          <w:p w14:paraId="54F11B82">
            <w:pPr>
              <w:pStyle w:val="35"/>
              <w:snapToGrid w:val="0"/>
              <w:spacing w:before="0" w:after="0"/>
              <w:ind w:left="0"/>
              <w:contextualSpacing w:val="0"/>
              <w:rPr>
                <w:highlight w:val="none"/>
                <w:lang w:val="en-US"/>
              </w:rPr>
            </w:pPr>
            <w:r>
              <w:rPr>
                <w:highlight w:val="none"/>
                <w:lang w:val="en-US"/>
              </w:rPr>
              <w:t>Value applied</w:t>
            </w:r>
          </w:p>
        </w:tc>
        <w:tc>
          <w:tcPr>
            <w:tcW w:w="6607" w:type="dxa"/>
          </w:tcPr>
          <w:p w14:paraId="0A9134BD">
            <w:pPr>
              <w:pStyle w:val="35"/>
              <w:snapToGrid w:val="0"/>
              <w:spacing w:before="0" w:after="0"/>
              <w:ind w:left="0"/>
              <w:contextualSpacing w:val="0"/>
              <w:rPr>
                <w:highlight w:val="none"/>
                <w:lang w:val="en-US"/>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258"/>
              <w:gridCol w:w="1258"/>
              <w:gridCol w:w="1258"/>
              <w:gridCol w:w="1259"/>
              <w:gridCol w:w="1259"/>
            </w:tblGrid>
            <w:tr w14:paraId="7837F1E7">
              <w:trPr>
                <w:trHeight w:val="297" w:hRule="atLeast"/>
              </w:trPr>
              <w:tc>
                <w:tcPr>
                  <w:tcW w:w="650" w:type="dxa"/>
                  <w:vAlign w:val="center"/>
                </w:tcPr>
                <w:p w14:paraId="5C8FA9FA">
                  <w:pPr>
                    <w:spacing w:before="0" w:after="0"/>
                    <w:jc w:val="center"/>
                    <w:rPr>
                      <w:bCs/>
                      <w:i/>
                      <w:iCs/>
                      <w:highlight w:val="none"/>
                      <w:lang w:val="en-US"/>
                    </w:rPr>
                  </w:pPr>
                  <w:r>
                    <w:rPr>
                      <w:rFonts w:hint="default"/>
                      <w:color w:val="000000" w:themeColor="text1"/>
                      <w:highlight w:val="none"/>
                      <w:lang w:val="es-ES"/>
                      <w14:textFill>
                        <w14:solidFill>
                          <w14:schemeClr w14:val="tx1"/>
                        </w14:solidFill>
                      </w14:textFill>
                    </w:rPr>
                    <w:t>PERIOD / YEAR</w:t>
                  </w:r>
                </w:p>
              </w:tc>
              <w:tc>
                <w:tcPr>
                  <w:tcW w:w="1073" w:type="dxa"/>
                  <w:vAlign w:val="center"/>
                </w:tcPr>
                <w:p w14:paraId="21FAD947">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1</w:t>
                  </w:r>
                </w:p>
                <w:p w14:paraId="64D42E3C">
                  <w:pPr>
                    <w:spacing w:before="0" w:after="0"/>
                    <w:jc w:val="center"/>
                    <w:rPr>
                      <w:i/>
                      <w:i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/2018-31/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/2019</w:t>
                  </w:r>
                </w:p>
              </w:tc>
              <w:tc>
                <w:tcPr>
                  <w:tcW w:w="1193" w:type="dxa"/>
                  <w:vAlign w:val="center"/>
                </w:tcPr>
                <w:p w14:paraId="647C1ABD">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2</w:t>
                  </w:r>
                </w:p>
                <w:p w14:paraId="7E49F7DF">
                  <w:pPr>
                    <w:spacing w:before="0" w:after="0"/>
                    <w:jc w:val="center"/>
                    <w:rPr>
                      <w:bCs/>
                      <w:i/>
                      <w:iCs/>
                      <w:highlight w:val="none"/>
                      <w:lang w:val="en-U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/2019-31/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/2020</w:t>
                  </w:r>
                </w:p>
              </w:tc>
              <w:tc>
                <w:tcPr>
                  <w:tcW w:w="1193" w:type="dxa"/>
                  <w:vAlign w:val="center"/>
                </w:tcPr>
                <w:p w14:paraId="3C0CE92F">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3</w:t>
                  </w:r>
                </w:p>
                <w:p w14:paraId="116A2782">
                  <w:pPr>
                    <w:spacing w:before="0" w:after="0"/>
                    <w:jc w:val="center"/>
                    <w:rPr>
                      <w:bCs/>
                      <w:i/>
                      <w:iCs/>
                      <w:highlight w:val="none"/>
                      <w:lang w:val="en-U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/2020-31/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/2021</w:t>
                  </w:r>
                </w:p>
              </w:tc>
              <w:tc>
                <w:tcPr>
                  <w:tcW w:w="1384" w:type="dxa"/>
                  <w:vAlign w:val="center"/>
                </w:tcPr>
                <w:p w14:paraId="677FF2C7">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4</w:t>
                  </w:r>
                </w:p>
                <w:p w14:paraId="48092962">
                  <w:pPr>
                    <w:spacing w:before="0" w:after="0"/>
                    <w:jc w:val="center"/>
                    <w:rPr>
                      <w:bCs/>
                      <w:i/>
                      <w:i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/2021-31/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/2022</w:t>
                  </w:r>
                </w:p>
              </w:tc>
              <w:tc>
                <w:tcPr>
                  <w:tcW w:w="1002" w:type="dxa"/>
                  <w:vAlign w:val="center"/>
                </w:tcPr>
                <w:p w14:paraId="2DCA878D">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5</w:t>
                  </w:r>
                </w:p>
                <w:p w14:paraId="613209E4">
                  <w:pPr>
                    <w:spacing w:before="0" w:after="0"/>
                    <w:jc w:val="center"/>
                    <w:rPr>
                      <w:bCs/>
                      <w:i/>
                      <w:i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/2022-31/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/2023</w:t>
                  </w:r>
                </w:p>
              </w:tc>
            </w:tr>
            <w:tr w14:paraId="17423651">
              <w:tc>
                <w:tcPr>
                  <w:tcW w:w="650" w:type="dxa"/>
                  <w:vAlign w:val="top"/>
                </w:tcPr>
                <w:p w14:paraId="0104BBD7">
                  <w:pPr>
                    <w:spacing w:before="0" w:after="0"/>
                    <w:rPr>
                      <w:bCs/>
                      <w:i/>
                      <w:iCs/>
                      <w:highlight w:val="none"/>
                      <w:lang w:val="en-US"/>
                    </w:rPr>
                  </w:pPr>
                  <w:r>
                    <w:rPr>
                      <w:rFonts w:eastAsia="Arial"/>
                      <w:highlight w:val="none"/>
                    </w:rPr>
                    <w:t>FC (L)</w:t>
                  </w:r>
                </w:p>
              </w:tc>
              <w:tc>
                <w:tcPr>
                  <w:tcW w:w="1073" w:type="dxa"/>
                  <w:vAlign w:val="center"/>
                </w:tcPr>
                <w:p w14:paraId="5412E086">
                  <w:pPr>
                    <w:keepNext w:val="0"/>
                    <w:keepLines w:val="0"/>
                    <w:widowControl/>
                    <w:suppressLineNumbers w:val="0"/>
                    <w:jc w:val="center"/>
                    <w:textAlignment w:val="center"/>
                    <w:rPr>
                      <w:b w:val="0"/>
                      <w:bCs w:val="0"/>
                      <w:i/>
                      <w:iCs/>
                      <w:highlight w:val="none"/>
                      <w:lang w:val="en-US"/>
                    </w:rPr>
                  </w:pPr>
                  <w:r>
                    <w:rPr>
                      <w:rFonts w:hint="default" w:ascii="Calibri" w:hAnsi="Calibri" w:eastAsia="SimSun" w:cs="Calibri"/>
                      <w:b w:val="0"/>
                      <w:bCs w:val="0"/>
                      <w:i w:val="0"/>
                      <w:iCs w:val="0"/>
                      <w:color w:val="000000"/>
                      <w:kern w:val="0"/>
                      <w:sz w:val="22"/>
                      <w:szCs w:val="22"/>
                      <w:highlight w:val="none"/>
                      <w:u w:val="none"/>
                      <w:lang w:val="en-US" w:eastAsia="zh-CN" w:bidi="ar"/>
                    </w:rPr>
                    <w:t>12,174.80</w:t>
                  </w:r>
                </w:p>
              </w:tc>
              <w:tc>
                <w:tcPr>
                  <w:tcW w:w="1193" w:type="dxa"/>
                  <w:vAlign w:val="center"/>
                </w:tcPr>
                <w:p w14:paraId="6AD144B8">
                  <w:pPr>
                    <w:keepNext w:val="0"/>
                    <w:keepLines w:val="0"/>
                    <w:widowControl/>
                    <w:suppressLineNumbers w:val="0"/>
                    <w:jc w:val="center"/>
                    <w:textAlignment w:val="center"/>
                    <w:rPr>
                      <w:b w:val="0"/>
                      <w:bCs w:val="0"/>
                      <w:i/>
                      <w:iCs/>
                      <w:highlight w:val="none"/>
                      <w:lang w:val="en-US"/>
                    </w:rPr>
                  </w:pPr>
                  <w:r>
                    <w:rPr>
                      <w:rFonts w:hint="default" w:ascii="Calibri" w:hAnsi="Calibri" w:eastAsia="SimSun" w:cs="Calibri"/>
                      <w:b w:val="0"/>
                      <w:bCs w:val="0"/>
                      <w:i w:val="0"/>
                      <w:iCs w:val="0"/>
                      <w:color w:val="000000"/>
                      <w:kern w:val="0"/>
                      <w:sz w:val="22"/>
                      <w:szCs w:val="22"/>
                      <w:highlight w:val="none"/>
                      <w:u w:val="none"/>
                      <w:lang w:val="en-US" w:eastAsia="zh-CN" w:bidi="ar"/>
                    </w:rPr>
                    <w:t>20,528.73</w:t>
                  </w:r>
                </w:p>
              </w:tc>
              <w:tc>
                <w:tcPr>
                  <w:tcW w:w="1193" w:type="dxa"/>
                  <w:vAlign w:val="center"/>
                </w:tcPr>
                <w:p w14:paraId="1020ECBE">
                  <w:pPr>
                    <w:keepNext w:val="0"/>
                    <w:keepLines w:val="0"/>
                    <w:widowControl/>
                    <w:suppressLineNumbers w:val="0"/>
                    <w:jc w:val="center"/>
                    <w:textAlignment w:val="center"/>
                    <w:rPr>
                      <w:b w:val="0"/>
                      <w:bCs w:val="0"/>
                      <w:i/>
                      <w:iCs/>
                      <w:highlight w:val="none"/>
                      <w:lang w:val="en-US"/>
                    </w:rPr>
                  </w:pPr>
                  <w:r>
                    <w:rPr>
                      <w:rFonts w:hint="default" w:ascii="Calibri" w:hAnsi="Calibri" w:eastAsia="SimSun" w:cs="Calibri"/>
                      <w:b w:val="0"/>
                      <w:bCs w:val="0"/>
                      <w:i w:val="0"/>
                      <w:iCs w:val="0"/>
                      <w:color w:val="000000"/>
                      <w:kern w:val="0"/>
                      <w:sz w:val="22"/>
                      <w:szCs w:val="22"/>
                      <w:highlight w:val="none"/>
                      <w:u w:val="none"/>
                      <w:lang w:val="en-US" w:eastAsia="zh-CN" w:bidi="ar"/>
                    </w:rPr>
                    <w:t>17,923.14</w:t>
                  </w:r>
                </w:p>
              </w:tc>
              <w:tc>
                <w:tcPr>
                  <w:tcW w:w="1384" w:type="dxa"/>
                  <w:vAlign w:val="center"/>
                </w:tcPr>
                <w:p w14:paraId="0FD28718">
                  <w:pPr>
                    <w:keepNext w:val="0"/>
                    <w:keepLines w:val="0"/>
                    <w:widowControl/>
                    <w:suppressLineNumbers w:val="0"/>
                    <w:jc w:val="center"/>
                    <w:textAlignment w:val="center"/>
                    <w:rPr>
                      <w:b w:val="0"/>
                      <w:bCs w:val="0"/>
                      <w:i/>
                      <w:iCs/>
                      <w:highlight w:val="none"/>
                      <w:lang w:val="en-US"/>
                    </w:rPr>
                  </w:pPr>
                  <w:r>
                    <w:rPr>
                      <w:rFonts w:hint="default" w:ascii="Calibri" w:hAnsi="Calibri" w:eastAsia="SimSun" w:cs="Calibri"/>
                      <w:b w:val="0"/>
                      <w:bCs w:val="0"/>
                      <w:i w:val="0"/>
                      <w:iCs w:val="0"/>
                      <w:color w:val="000000"/>
                      <w:kern w:val="0"/>
                      <w:sz w:val="22"/>
                      <w:szCs w:val="22"/>
                      <w:highlight w:val="none"/>
                      <w:u w:val="none"/>
                      <w:lang w:val="en-US" w:eastAsia="zh-CN" w:bidi="ar"/>
                    </w:rPr>
                    <w:t>19,959.50</w:t>
                  </w:r>
                </w:p>
              </w:tc>
              <w:tc>
                <w:tcPr>
                  <w:tcW w:w="1002" w:type="dxa"/>
                  <w:vAlign w:val="center"/>
                </w:tcPr>
                <w:p w14:paraId="0A3B297D">
                  <w:pPr>
                    <w:keepNext w:val="0"/>
                    <w:keepLines w:val="0"/>
                    <w:widowControl/>
                    <w:suppressLineNumbers w:val="0"/>
                    <w:jc w:val="center"/>
                    <w:textAlignment w:val="center"/>
                    <w:rPr>
                      <w:b w:val="0"/>
                      <w:bCs w:val="0"/>
                      <w:i/>
                      <w:iCs/>
                      <w:highlight w:val="none"/>
                      <w:lang w:val="en-US"/>
                    </w:rPr>
                  </w:pPr>
                  <w:r>
                    <w:rPr>
                      <w:rFonts w:hint="default" w:ascii="Calibri" w:hAnsi="Calibri" w:eastAsia="SimSun" w:cs="Calibri"/>
                      <w:b w:val="0"/>
                      <w:bCs w:val="0"/>
                      <w:i w:val="0"/>
                      <w:iCs w:val="0"/>
                      <w:color w:val="000000"/>
                      <w:kern w:val="0"/>
                      <w:sz w:val="22"/>
                      <w:szCs w:val="22"/>
                      <w:highlight w:val="none"/>
                      <w:u w:val="none"/>
                      <w:lang w:val="en-US" w:eastAsia="zh-CN" w:bidi="ar"/>
                    </w:rPr>
                    <w:t>34,699.79</w:t>
                  </w:r>
                </w:p>
              </w:tc>
            </w:tr>
          </w:tbl>
          <w:p w14:paraId="50936BED">
            <w:pPr>
              <w:spacing w:after="160" w:line="259" w:lineRule="auto"/>
              <w:rPr>
                <w:highlight w:val="none"/>
                <w:lang w:val="en-US"/>
              </w:rPr>
            </w:pPr>
          </w:p>
        </w:tc>
      </w:tr>
      <w:tr w14:paraId="1DE35069">
        <w:tc>
          <w:tcPr>
            <w:tcW w:w="1881" w:type="dxa"/>
            <w:shd w:val="clear" w:color="auto" w:fill="F1F1F1" w:themeFill="background1" w:themeFillShade="F2"/>
          </w:tcPr>
          <w:p w14:paraId="5EEC9632">
            <w:pPr>
              <w:pStyle w:val="35"/>
              <w:snapToGrid w:val="0"/>
              <w:spacing w:before="0" w:after="0"/>
              <w:ind w:left="0"/>
              <w:contextualSpacing w:val="0"/>
              <w:rPr>
                <w:highlight w:val="none"/>
                <w:lang w:val="en-US"/>
              </w:rPr>
            </w:pPr>
            <w:r>
              <w:rPr>
                <w:highlight w:val="none"/>
                <w:lang w:val="en-US"/>
              </w:rPr>
              <w:t>Justification of choice of data or description of measurement methods and procedures applied</w:t>
            </w:r>
          </w:p>
        </w:tc>
        <w:tc>
          <w:tcPr>
            <w:tcW w:w="6607" w:type="dxa"/>
          </w:tcPr>
          <w:p w14:paraId="6AD24F48">
            <w:pPr>
              <w:snapToGrid w:val="0"/>
              <w:spacing w:before="0" w:after="0"/>
              <w:rPr>
                <w:highlight w:val="none"/>
                <w:lang w:val="en-US"/>
              </w:rPr>
            </w:pPr>
            <w:r>
              <w:rPr>
                <w:highlight w:val="none"/>
                <w:lang w:val="en-US"/>
              </w:rPr>
              <w:t>As per page 15 of the methodology AM0057 and table 1 (page 5) the Methodological tool number 3 “Tool to calculate project or leakage CO</w:t>
            </w:r>
            <w:r>
              <w:rPr>
                <w:highlight w:val="none"/>
                <w:vertAlign w:val="subscript"/>
                <w:lang w:val="en-US"/>
              </w:rPr>
              <w:t>2</w:t>
            </w:r>
            <w:r>
              <w:rPr>
                <w:highlight w:val="none"/>
                <w:lang w:val="en-US"/>
              </w:rPr>
              <w:t xml:space="preserve"> emissions from fossil fuel combustion” (version 3), these parameters are measured by the project holder continuously.</w:t>
            </w:r>
          </w:p>
        </w:tc>
      </w:tr>
      <w:tr w14:paraId="5F8E9E44">
        <w:tc>
          <w:tcPr>
            <w:tcW w:w="1881" w:type="dxa"/>
            <w:shd w:val="clear" w:color="auto" w:fill="F1F1F1" w:themeFill="background1" w:themeFillShade="F2"/>
          </w:tcPr>
          <w:p w14:paraId="67A0AD3D">
            <w:pPr>
              <w:pStyle w:val="35"/>
              <w:snapToGrid w:val="0"/>
              <w:spacing w:before="0" w:after="0"/>
              <w:ind w:left="0"/>
              <w:contextualSpacing w:val="0"/>
              <w:rPr>
                <w:highlight w:val="none"/>
                <w:lang w:val="en-US"/>
              </w:rPr>
            </w:pPr>
            <w:r>
              <w:rPr>
                <w:highlight w:val="none"/>
                <w:lang w:val="en-US"/>
              </w:rPr>
              <w:t>Purpose of data</w:t>
            </w:r>
          </w:p>
        </w:tc>
        <w:tc>
          <w:tcPr>
            <w:tcW w:w="6607" w:type="dxa"/>
          </w:tcPr>
          <w:p w14:paraId="73027644">
            <w:pPr>
              <w:pStyle w:val="22"/>
              <w:spacing w:before="0" w:beforeAutospacing="0" w:after="0" w:afterAutospacing="0"/>
              <w:rPr>
                <w:rFonts w:ascii="Arial" w:hAnsi="Arial" w:cs="Arial" w:eastAsiaTheme="minorHAnsi"/>
                <w:sz w:val="22"/>
                <w:szCs w:val="22"/>
                <w:highlight w:val="none"/>
                <w:lang w:eastAsia="en-US"/>
              </w:rPr>
            </w:pPr>
            <w:r>
              <w:rPr>
                <w:rFonts w:ascii="Arial" w:hAnsi="Arial" w:cs="Arial" w:eastAsiaTheme="minorHAnsi"/>
                <w:sz w:val="22"/>
                <w:szCs w:val="22"/>
                <w:highlight w:val="none"/>
                <w:lang w:eastAsia="en-US"/>
              </w:rPr>
              <w:t>Determination of the project emissions.</w:t>
            </w:r>
          </w:p>
        </w:tc>
      </w:tr>
      <w:tr w14:paraId="46E4734F">
        <w:trPr>
          <w:trHeight w:val="255" w:hRule="atLeast"/>
        </w:trPr>
        <w:tc>
          <w:tcPr>
            <w:tcW w:w="1881" w:type="dxa"/>
            <w:shd w:val="clear" w:color="auto" w:fill="F1F1F1" w:themeFill="background1" w:themeFillShade="F2"/>
          </w:tcPr>
          <w:p w14:paraId="55447F34">
            <w:pPr>
              <w:pStyle w:val="35"/>
              <w:snapToGrid w:val="0"/>
              <w:spacing w:before="0" w:after="0"/>
              <w:ind w:left="0"/>
              <w:contextualSpacing w:val="0"/>
              <w:rPr>
                <w:highlight w:val="none"/>
                <w:lang w:val="en-US"/>
              </w:rPr>
            </w:pPr>
            <w:r>
              <w:rPr>
                <w:highlight w:val="none"/>
                <w:lang w:val="en-US"/>
              </w:rPr>
              <w:t>Monitoring frequency</w:t>
            </w:r>
          </w:p>
        </w:tc>
        <w:tc>
          <w:tcPr>
            <w:tcW w:w="6607" w:type="dxa"/>
          </w:tcPr>
          <w:p w14:paraId="5EADE5AA">
            <w:pPr>
              <w:pStyle w:val="35"/>
              <w:snapToGrid w:val="0"/>
              <w:spacing w:before="0" w:after="0"/>
              <w:ind w:left="0"/>
              <w:contextualSpacing w:val="0"/>
              <w:rPr>
                <w:highlight w:val="none"/>
                <w:lang w:val="en-US"/>
              </w:rPr>
            </w:pPr>
            <w:r>
              <w:rPr>
                <w:highlight w:val="none"/>
                <w:lang w:val="en-US"/>
              </w:rPr>
              <w:t>Monitored continuously with the invoice of fuel consumption by the supplier.</w:t>
            </w:r>
          </w:p>
        </w:tc>
      </w:tr>
      <w:tr w14:paraId="775DC2FF">
        <w:trPr>
          <w:trHeight w:val="255" w:hRule="atLeast"/>
        </w:trPr>
        <w:tc>
          <w:tcPr>
            <w:tcW w:w="1881" w:type="dxa"/>
            <w:shd w:val="clear" w:color="auto" w:fill="F1F1F1" w:themeFill="background1" w:themeFillShade="F2"/>
          </w:tcPr>
          <w:p w14:paraId="59F54B27">
            <w:pPr>
              <w:pStyle w:val="35"/>
              <w:snapToGrid w:val="0"/>
              <w:spacing w:before="0" w:after="0"/>
              <w:ind w:left="0"/>
              <w:contextualSpacing w:val="0"/>
              <w:rPr>
                <w:highlight w:val="none"/>
                <w:lang w:val="en-US"/>
              </w:rPr>
            </w:pPr>
            <w:r>
              <w:rPr>
                <w:highlight w:val="none"/>
                <w:lang w:val="en-US"/>
              </w:rPr>
              <w:t>Any comments</w:t>
            </w:r>
          </w:p>
        </w:tc>
        <w:tc>
          <w:tcPr>
            <w:tcW w:w="6607" w:type="dxa"/>
          </w:tcPr>
          <w:p w14:paraId="3BBF7E8C">
            <w:pPr>
              <w:pStyle w:val="35"/>
              <w:snapToGrid w:val="0"/>
              <w:spacing w:before="0" w:after="0"/>
              <w:ind w:left="0"/>
              <w:contextualSpacing w:val="0"/>
              <w:rPr>
                <w:rFonts w:hint="default"/>
                <w:highlight w:val="none"/>
                <w:lang w:val="es-ES"/>
              </w:rPr>
            </w:pPr>
            <w:r>
              <w:rPr>
                <w:rFonts w:hint="default"/>
                <w:highlight w:val="none"/>
                <w:lang w:val="es-ES"/>
              </w:rPr>
              <w:t>-</w:t>
            </w:r>
          </w:p>
        </w:tc>
      </w:tr>
    </w:tbl>
    <w:p w14:paraId="6127C667">
      <w:pPr>
        <w:pStyle w:val="35"/>
        <w:snapToGrid w:val="0"/>
        <w:spacing w:after="0"/>
        <w:ind w:left="0"/>
        <w:contextualSpacing w:val="0"/>
        <w:rPr>
          <w:highlight w:val="none"/>
          <w:lang w:val="en-US"/>
        </w:rPr>
      </w:pPr>
    </w:p>
    <w:p w14:paraId="3DB07C82">
      <w:pPr>
        <w:pStyle w:val="35"/>
        <w:snapToGrid w:val="0"/>
        <w:spacing w:after="0"/>
        <w:ind w:left="0"/>
        <w:contextualSpacing w:val="0"/>
        <w:rPr>
          <w:rFonts w:hint="default"/>
          <w:highlight w:val="none"/>
          <w:lang w:val="es-ES"/>
        </w:rPr>
      </w:pPr>
      <w:r>
        <w:rPr>
          <w:highlight w:val="none"/>
          <w:lang w:val="en-US"/>
        </w:rPr>
        <w:t xml:space="preserve">Data/Parameter </w:t>
      </w:r>
      <w:r>
        <w:rPr>
          <w:rFonts w:hint="default"/>
          <w:highlight w:val="none"/>
          <w:lang w:val="es-ES"/>
        </w:rPr>
        <w:t>10</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7399"/>
      </w:tblGrid>
      <w:tr w14:paraId="7F11B796">
        <w:tc>
          <w:tcPr>
            <w:tcW w:w="2405" w:type="dxa"/>
            <w:shd w:val="clear" w:color="auto" w:fill="F1F1F1" w:themeFill="background1" w:themeFillShade="F2"/>
          </w:tcPr>
          <w:p w14:paraId="7C77C05E">
            <w:pPr>
              <w:pStyle w:val="35"/>
              <w:snapToGrid w:val="0"/>
              <w:spacing w:before="0" w:after="0"/>
              <w:ind w:left="0"/>
              <w:contextualSpacing w:val="0"/>
              <w:rPr>
                <w:highlight w:val="none"/>
                <w:lang w:val="en-US"/>
              </w:rPr>
            </w:pPr>
            <w:r>
              <w:rPr>
                <w:highlight w:val="none"/>
                <w:lang w:val="en-US"/>
              </w:rPr>
              <w:t>Data/Parameter</w:t>
            </w:r>
          </w:p>
        </w:tc>
        <w:tc>
          <w:tcPr>
            <w:tcW w:w="6083" w:type="dxa"/>
          </w:tcPr>
          <w:p w14:paraId="7F750724">
            <w:pPr>
              <w:spacing w:before="0" w:after="0"/>
              <w:rPr>
                <w:b/>
                <w:bCs/>
                <w:i/>
                <w:iCs/>
                <w:highlight w:val="none"/>
                <w:lang w:val="en-US"/>
              </w:rPr>
            </w:pPr>
            <w:r>
              <w:rPr>
                <w:rFonts w:ascii="Cambria Math" w:hAnsi="Cambria Math" w:cs="Cambria Math"/>
                <w:b/>
                <w:bCs/>
                <w:highlight w:val="none"/>
                <w:lang w:val="en-US"/>
              </w:rPr>
              <w:t>𝐸</w:t>
            </w:r>
            <w:r>
              <w:rPr>
                <w:b w:val="0"/>
                <w:bCs w:val="0"/>
                <w:i/>
                <w:iCs/>
                <w:highlight w:val="none"/>
                <w:lang w:val="en-US"/>
              </w:rPr>
              <w:t>C</w:t>
            </w:r>
            <w:r>
              <w:rPr>
                <w:b w:val="0"/>
                <w:bCs w:val="0"/>
                <w:i/>
                <w:iCs/>
                <w:highlight w:val="none"/>
                <w:vertAlign w:val="subscript"/>
                <w:lang w:val="en-US"/>
              </w:rPr>
              <w:t>PJ,j,y</w:t>
            </w:r>
          </w:p>
        </w:tc>
      </w:tr>
      <w:tr w14:paraId="149E2C83">
        <w:tc>
          <w:tcPr>
            <w:tcW w:w="2405" w:type="dxa"/>
            <w:shd w:val="clear" w:color="auto" w:fill="F1F1F1" w:themeFill="background1" w:themeFillShade="F2"/>
          </w:tcPr>
          <w:p w14:paraId="53EA4ED0">
            <w:pPr>
              <w:pStyle w:val="35"/>
              <w:snapToGrid w:val="0"/>
              <w:spacing w:before="0" w:after="0"/>
              <w:ind w:left="0"/>
              <w:contextualSpacing w:val="0"/>
              <w:rPr>
                <w:highlight w:val="none"/>
                <w:lang w:val="en-US"/>
              </w:rPr>
            </w:pPr>
            <w:r>
              <w:rPr>
                <w:highlight w:val="none"/>
                <w:lang w:val="en-US"/>
              </w:rPr>
              <w:t>Data unit</w:t>
            </w:r>
          </w:p>
        </w:tc>
        <w:tc>
          <w:tcPr>
            <w:tcW w:w="6083" w:type="dxa"/>
          </w:tcPr>
          <w:p w14:paraId="2E51C600">
            <w:pPr>
              <w:pStyle w:val="35"/>
              <w:snapToGrid w:val="0"/>
              <w:spacing w:before="0" w:after="0"/>
              <w:ind w:left="0"/>
              <w:contextualSpacing w:val="0"/>
              <w:rPr>
                <w:highlight w:val="none"/>
                <w:lang w:val="en-US"/>
              </w:rPr>
            </w:pPr>
            <w:r>
              <w:rPr>
                <w:highlight w:val="none"/>
                <w:lang w:val="en-US"/>
              </w:rPr>
              <w:t>MWh/yr</w:t>
            </w:r>
          </w:p>
        </w:tc>
      </w:tr>
      <w:tr w14:paraId="0AA23DE0">
        <w:tc>
          <w:tcPr>
            <w:tcW w:w="2405" w:type="dxa"/>
            <w:shd w:val="clear" w:color="auto" w:fill="F1F1F1" w:themeFill="background1" w:themeFillShade="F2"/>
          </w:tcPr>
          <w:p w14:paraId="0F7B56AB">
            <w:pPr>
              <w:pStyle w:val="35"/>
              <w:snapToGrid w:val="0"/>
              <w:spacing w:before="0" w:after="0"/>
              <w:ind w:left="0"/>
              <w:contextualSpacing w:val="0"/>
              <w:rPr>
                <w:highlight w:val="none"/>
                <w:lang w:val="en-US"/>
              </w:rPr>
            </w:pPr>
            <w:r>
              <w:rPr>
                <w:highlight w:val="none"/>
                <w:lang w:val="en-US"/>
              </w:rPr>
              <w:t>Description</w:t>
            </w:r>
          </w:p>
        </w:tc>
        <w:tc>
          <w:tcPr>
            <w:tcW w:w="6083" w:type="dxa"/>
          </w:tcPr>
          <w:p w14:paraId="753A4D9C">
            <w:pPr>
              <w:snapToGrid w:val="0"/>
              <w:spacing w:before="0" w:after="0"/>
              <w:rPr>
                <w:highlight w:val="none"/>
                <w:lang w:val="en-US"/>
              </w:rPr>
            </w:pPr>
            <w:r>
              <w:rPr>
                <w:highlight w:val="none"/>
                <w:lang w:val="en-US"/>
              </w:rPr>
              <w:t>Quantity of electricity consumed by the project electricity consumption source j in year y</w:t>
            </w:r>
          </w:p>
        </w:tc>
      </w:tr>
      <w:tr w14:paraId="52015818">
        <w:tc>
          <w:tcPr>
            <w:tcW w:w="2405" w:type="dxa"/>
            <w:shd w:val="clear" w:color="auto" w:fill="F1F1F1" w:themeFill="background1" w:themeFillShade="F2"/>
          </w:tcPr>
          <w:p w14:paraId="296CB46E">
            <w:pPr>
              <w:pStyle w:val="35"/>
              <w:snapToGrid w:val="0"/>
              <w:spacing w:before="0" w:after="0"/>
              <w:ind w:left="0"/>
              <w:contextualSpacing w:val="0"/>
              <w:rPr>
                <w:highlight w:val="none"/>
                <w:lang w:val="en-US"/>
              </w:rPr>
            </w:pPr>
            <w:r>
              <w:rPr>
                <w:highlight w:val="none"/>
                <w:lang w:val="en-US"/>
              </w:rPr>
              <w:t>Source data</w:t>
            </w:r>
          </w:p>
        </w:tc>
        <w:tc>
          <w:tcPr>
            <w:tcW w:w="6083" w:type="dxa"/>
          </w:tcPr>
          <w:p w14:paraId="3BF0A3F8">
            <w:pPr>
              <w:snapToGrid w:val="0"/>
              <w:spacing w:before="0" w:after="0"/>
              <w:rPr>
                <w:highlight w:val="none"/>
                <w:lang w:val="en-US"/>
              </w:rPr>
            </w:pPr>
            <w:r>
              <w:rPr>
                <w:highlight w:val="none"/>
                <w:lang w:val="en-US"/>
              </w:rPr>
              <w:t>Methodological tool 5 “Baseline, project and/or leakage emissions from electricity consumption and monitoring</w:t>
            </w:r>
          </w:p>
          <w:p w14:paraId="610828C1">
            <w:pPr>
              <w:snapToGrid w:val="0"/>
              <w:spacing w:before="0" w:after="0"/>
              <w:rPr>
                <w:highlight w:val="none"/>
                <w:lang w:val="en-US"/>
              </w:rPr>
            </w:pPr>
            <w:r>
              <w:rPr>
                <w:highlight w:val="none"/>
                <w:lang w:val="en-US"/>
              </w:rPr>
              <w:t>of electricity generation” (version 3).</w:t>
            </w:r>
          </w:p>
        </w:tc>
      </w:tr>
      <w:tr w14:paraId="1E4B5477">
        <w:tc>
          <w:tcPr>
            <w:tcW w:w="2405" w:type="dxa"/>
            <w:shd w:val="clear" w:color="auto" w:fill="F1F1F1" w:themeFill="background1" w:themeFillShade="F2"/>
          </w:tcPr>
          <w:p w14:paraId="36EDEB68">
            <w:pPr>
              <w:pStyle w:val="35"/>
              <w:snapToGrid w:val="0"/>
              <w:spacing w:before="0" w:after="0"/>
              <w:ind w:left="0"/>
              <w:contextualSpacing w:val="0"/>
              <w:rPr>
                <w:highlight w:val="none"/>
                <w:lang w:val="en-US"/>
              </w:rPr>
            </w:pPr>
            <w:r>
              <w:rPr>
                <w:highlight w:val="none"/>
                <w:lang w:val="en-US"/>
              </w:rPr>
              <w:t>Value applied</w:t>
            </w:r>
          </w:p>
        </w:tc>
        <w:tc>
          <w:tcPr>
            <w:tcW w:w="6083" w:type="dxa"/>
          </w:tcPr>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191"/>
              <w:gridCol w:w="1192"/>
              <w:gridCol w:w="1192"/>
              <w:gridCol w:w="1192"/>
              <w:gridCol w:w="1192"/>
            </w:tblGrid>
            <w:tr w14:paraId="7EF40848">
              <w:tc>
                <w:tcPr>
                  <w:tcW w:w="1108" w:type="dxa"/>
                </w:tcPr>
                <w:p w14:paraId="2344EFD1">
                  <w:pPr>
                    <w:spacing w:before="0" w:after="0"/>
                    <w:rPr>
                      <w:rFonts w:hint="default"/>
                      <w:bCs/>
                      <w:i/>
                      <w:iCs/>
                      <w:highlight w:val="none"/>
                      <w:lang w:val="es-ES"/>
                    </w:rPr>
                  </w:pPr>
                  <w:r>
                    <w:rPr>
                      <w:rFonts w:hint="default"/>
                      <w:bCs/>
                      <w:i w:val="0"/>
                      <w:iCs w:val="0"/>
                      <w:highlight w:val="none"/>
                      <w:lang w:val="es-ES"/>
                    </w:rPr>
                    <w:t>PERIOD/YEAR</w:t>
                  </w:r>
                </w:p>
              </w:tc>
              <w:tc>
                <w:tcPr>
                  <w:tcW w:w="765" w:type="dxa"/>
                  <w:vAlign w:val="center"/>
                </w:tcPr>
                <w:p w14:paraId="194B8AF2">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1</w:t>
                  </w:r>
                </w:p>
                <w:p w14:paraId="454D9022">
                  <w:pPr>
                    <w:spacing w:before="0" w:after="0"/>
                    <w:jc w:val="center"/>
                    <w:rPr>
                      <w:i/>
                      <w:i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/2018-31/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/2019</w:t>
                  </w:r>
                </w:p>
              </w:tc>
              <w:tc>
                <w:tcPr>
                  <w:tcW w:w="952" w:type="dxa"/>
                  <w:vAlign w:val="center"/>
                </w:tcPr>
                <w:p w14:paraId="75C879D1">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2</w:t>
                  </w:r>
                </w:p>
                <w:p w14:paraId="58DD0612">
                  <w:pPr>
                    <w:spacing w:before="0" w:after="0"/>
                    <w:jc w:val="center"/>
                    <w:rPr>
                      <w:bCs/>
                      <w:i/>
                      <w:iCs/>
                      <w:highlight w:val="none"/>
                      <w:lang w:val="en-U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/2019-31/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/2020</w:t>
                  </w:r>
                </w:p>
              </w:tc>
              <w:tc>
                <w:tcPr>
                  <w:tcW w:w="975" w:type="dxa"/>
                  <w:vAlign w:val="center"/>
                </w:tcPr>
                <w:p w14:paraId="0D4D8888">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3</w:t>
                  </w:r>
                </w:p>
                <w:p w14:paraId="633EB707">
                  <w:pPr>
                    <w:spacing w:before="0" w:after="0"/>
                    <w:jc w:val="center"/>
                    <w:rPr>
                      <w:bCs/>
                      <w:i/>
                      <w:iCs/>
                      <w:highlight w:val="none"/>
                      <w:lang w:val="en-U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/2020-31/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/2021</w:t>
                  </w:r>
                </w:p>
              </w:tc>
              <w:tc>
                <w:tcPr>
                  <w:tcW w:w="1031" w:type="dxa"/>
                  <w:vAlign w:val="center"/>
                </w:tcPr>
                <w:p w14:paraId="4DB90A20">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4</w:t>
                  </w:r>
                </w:p>
                <w:p w14:paraId="703D67F1">
                  <w:pPr>
                    <w:spacing w:before="0" w:after="0"/>
                    <w:jc w:val="center"/>
                    <w:rPr>
                      <w:bCs/>
                      <w:i/>
                      <w:i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/2021-31/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/2022</w:t>
                  </w:r>
                </w:p>
              </w:tc>
              <w:tc>
                <w:tcPr>
                  <w:tcW w:w="1022" w:type="dxa"/>
                  <w:vAlign w:val="center"/>
                </w:tcPr>
                <w:p w14:paraId="6A9E0EE9">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5</w:t>
                  </w:r>
                </w:p>
                <w:p w14:paraId="56BC604D">
                  <w:pPr>
                    <w:spacing w:before="0" w:after="0"/>
                    <w:jc w:val="center"/>
                    <w:rPr>
                      <w:bCs/>
                      <w:i/>
                      <w:i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/2022-31/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/2023</w:t>
                  </w:r>
                </w:p>
              </w:tc>
            </w:tr>
            <w:tr w14:paraId="679CC1F1">
              <w:tc>
                <w:tcPr>
                  <w:tcW w:w="1108" w:type="dxa"/>
                </w:tcPr>
                <w:p w14:paraId="72E04DD7">
                  <w:pPr>
                    <w:spacing w:before="0" w:after="0"/>
                    <w:rPr>
                      <w:bCs/>
                      <w:i/>
                      <w:iCs/>
                      <w:highlight w:val="none"/>
                      <w:lang w:val="en-US"/>
                    </w:rPr>
                  </w:pPr>
                  <w:r>
                    <w:rPr>
                      <w:rFonts w:hint="default" w:ascii="Cambria Math" w:hAnsi="Cambria Math" w:cs="Cambria Math"/>
                      <w:bCs/>
                      <w:i/>
                      <w:iCs/>
                      <w:highlight w:val="none"/>
                      <w:lang w:val="es-ES"/>
                    </w:rPr>
                    <w:t>E</w:t>
                  </w:r>
                  <w:r>
                    <w:rPr>
                      <w:bCs/>
                      <w:i/>
                      <w:iCs/>
                      <w:highlight w:val="none"/>
                      <w:lang w:val="en-US"/>
                    </w:rPr>
                    <w:t>C</w:t>
                  </w:r>
                  <w:r>
                    <w:rPr>
                      <w:bCs/>
                      <w:i/>
                      <w:iCs/>
                      <w:highlight w:val="none"/>
                      <w:vertAlign w:val="subscript"/>
                      <w:lang w:val="en-US"/>
                    </w:rPr>
                    <w:t>PJ,j,y</w:t>
                  </w:r>
                  <w:r>
                    <w:rPr>
                      <w:bCs/>
                      <w:i/>
                      <w:iCs/>
                      <w:highlight w:val="none"/>
                      <w:lang w:val="en-US"/>
                    </w:rPr>
                    <w:t xml:space="preserve"> (MWh)</w:t>
                  </w:r>
                </w:p>
              </w:tc>
              <w:tc>
                <w:tcPr>
                  <w:tcW w:w="765" w:type="dxa"/>
                  <w:vAlign w:val="center"/>
                </w:tcPr>
                <w:p w14:paraId="038FAF37">
                  <w:pPr>
                    <w:keepNext w:val="0"/>
                    <w:keepLines w:val="0"/>
                    <w:widowControl/>
                    <w:suppressLineNumbers w:val="0"/>
                    <w:jc w:val="center"/>
                    <w:textAlignment w:val="center"/>
                    <w:rPr>
                      <w:bCs/>
                      <w:i/>
                      <w:iCs/>
                      <w:highlight w:val="none"/>
                      <w:lang w:val="en-US"/>
                    </w:rPr>
                  </w:pPr>
                  <w:r>
                    <w:rPr>
                      <w:rFonts w:hint="default" w:ascii="Calibri" w:hAnsi="Calibri" w:eastAsia="SimSun" w:cs="Calibri"/>
                      <w:b w:val="0"/>
                      <w:bCs w:val="0"/>
                      <w:i w:val="0"/>
                      <w:iCs w:val="0"/>
                      <w:color w:val="000000"/>
                      <w:kern w:val="0"/>
                      <w:sz w:val="22"/>
                      <w:szCs w:val="22"/>
                      <w:highlight w:val="none"/>
                      <w:u w:val="none"/>
                      <w:lang w:val="en-US" w:eastAsia="zh-CN" w:bidi="ar"/>
                    </w:rPr>
                    <w:t>16.75</w:t>
                  </w:r>
                </w:p>
              </w:tc>
              <w:tc>
                <w:tcPr>
                  <w:tcW w:w="952" w:type="dxa"/>
                  <w:vAlign w:val="center"/>
                </w:tcPr>
                <w:p w14:paraId="32C84576">
                  <w:pPr>
                    <w:keepNext w:val="0"/>
                    <w:keepLines w:val="0"/>
                    <w:widowControl/>
                    <w:suppressLineNumbers w:val="0"/>
                    <w:jc w:val="center"/>
                    <w:textAlignment w:val="center"/>
                    <w:rPr>
                      <w:bCs/>
                      <w:i/>
                      <w:iCs/>
                      <w:highlight w:val="none"/>
                      <w:lang w:val="en-US"/>
                    </w:rPr>
                  </w:pPr>
                  <w:r>
                    <w:rPr>
                      <w:rFonts w:hint="default" w:ascii="Calibri" w:hAnsi="Calibri" w:eastAsia="SimSun" w:cs="Calibri"/>
                      <w:b w:val="0"/>
                      <w:bCs w:val="0"/>
                      <w:i w:val="0"/>
                      <w:iCs w:val="0"/>
                      <w:color w:val="000000"/>
                      <w:kern w:val="0"/>
                      <w:sz w:val="22"/>
                      <w:szCs w:val="22"/>
                      <w:highlight w:val="none"/>
                      <w:u w:val="none"/>
                      <w:lang w:val="en-US" w:eastAsia="zh-CN" w:bidi="ar"/>
                    </w:rPr>
                    <w:t>19.50</w:t>
                  </w:r>
                </w:p>
              </w:tc>
              <w:tc>
                <w:tcPr>
                  <w:tcW w:w="975" w:type="dxa"/>
                  <w:vAlign w:val="center"/>
                </w:tcPr>
                <w:p w14:paraId="5D6A0789">
                  <w:pPr>
                    <w:keepNext w:val="0"/>
                    <w:keepLines w:val="0"/>
                    <w:widowControl/>
                    <w:suppressLineNumbers w:val="0"/>
                    <w:jc w:val="center"/>
                    <w:textAlignment w:val="center"/>
                    <w:rPr>
                      <w:bCs/>
                      <w:i/>
                      <w:iCs/>
                      <w:highlight w:val="none"/>
                      <w:lang w:val="en-US"/>
                    </w:rPr>
                  </w:pPr>
                  <w:r>
                    <w:rPr>
                      <w:rFonts w:hint="default" w:ascii="Calibri" w:hAnsi="Calibri" w:eastAsia="SimSun" w:cs="Calibri"/>
                      <w:b w:val="0"/>
                      <w:bCs w:val="0"/>
                      <w:i w:val="0"/>
                      <w:iCs w:val="0"/>
                      <w:color w:val="000000"/>
                      <w:kern w:val="0"/>
                      <w:sz w:val="22"/>
                      <w:szCs w:val="22"/>
                      <w:highlight w:val="none"/>
                      <w:u w:val="none"/>
                      <w:lang w:val="en-US" w:eastAsia="zh-CN" w:bidi="ar"/>
                    </w:rPr>
                    <w:t>21.25</w:t>
                  </w:r>
                </w:p>
              </w:tc>
              <w:tc>
                <w:tcPr>
                  <w:tcW w:w="1031" w:type="dxa"/>
                  <w:vAlign w:val="center"/>
                </w:tcPr>
                <w:p w14:paraId="0CC0063D">
                  <w:pPr>
                    <w:keepNext w:val="0"/>
                    <w:keepLines w:val="0"/>
                    <w:widowControl/>
                    <w:suppressLineNumbers w:val="0"/>
                    <w:jc w:val="center"/>
                    <w:textAlignment w:val="center"/>
                    <w:rPr>
                      <w:bCs/>
                      <w:i/>
                      <w:iCs/>
                      <w:highlight w:val="none"/>
                      <w:lang w:val="en-US"/>
                    </w:rPr>
                  </w:pPr>
                  <w:r>
                    <w:rPr>
                      <w:rFonts w:hint="default" w:ascii="Calibri" w:hAnsi="Calibri" w:eastAsia="SimSun" w:cs="Calibri"/>
                      <w:b w:val="0"/>
                      <w:bCs w:val="0"/>
                      <w:i w:val="0"/>
                      <w:iCs w:val="0"/>
                      <w:color w:val="000000"/>
                      <w:kern w:val="0"/>
                      <w:sz w:val="22"/>
                      <w:szCs w:val="22"/>
                      <w:highlight w:val="none"/>
                      <w:u w:val="none"/>
                      <w:lang w:val="en-US" w:eastAsia="zh-CN" w:bidi="ar"/>
                    </w:rPr>
                    <w:t>22.50</w:t>
                  </w:r>
                </w:p>
              </w:tc>
              <w:tc>
                <w:tcPr>
                  <w:tcW w:w="1022" w:type="dxa"/>
                  <w:vAlign w:val="center"/>
                </w:tcPr>
                <w:p w14:paraId="22A3F39A">
                  <w:pPr>
                    <w:keepNext w:val="0"/>
                    <w:keepLines w:val="0"/>
                    <w:widowControl/>
                    <w:suppressLineNumbers w:val="0"/>
                    <w:jc w:val="center"/>
                    <w:textAlignment w:val="center"/>
                    <w:rPr>
                      <w:bCs/>
                      <w:i/>
                      <w:iCs/>
                      <w:highlight w:val="none"/>
                      <w:lang w:val="en-US"/>
                    </w:rPr>
                  </w:pPr>
                  <w:r>
                    <w:rPr>
                      <w:rFonts w:hint="default" w:ascii="Calibri" w:hAnsi="Calibri" w:eastAsia="SimSun" w:cs="Calibri"/>
                      <w:b w:val="0"/>
                      <w:bCs w:val="0"/>
                      <w:i w:val="0"/>
                      <w:iCs w:val="0"/>
                      <w:color w:val="000000"/>
                      <w:kern w:val="0"/>
                      <w:sz w:val="22"/>
                      <w:szCs w:val="22"/>
                      <w:highlight w:val="none"/>
                      <w:u w:val="none"/>
                      <w:lang w:val="en-US" w:eastAsia="zh-CN" w:bidi="ar"/>
                    </w:rPr>
                    <w:t>20.00</w:t>
                  </w:r>
                </w:p>
              </w:tc>
            </w:tr>
          </w:tbl>
          <w:p w14:paraId="0318BC76">
            <w:pPr>
              <w:spacing w:after="160" w:line="259" w:lineRule="auto"/>
              <w:rPr>
                <w:highlight w:val="none"/>
                <w:lang w:val="en-US"/>
              </w:rPr>
            </w:pPr>
          </w:p>
        </w:tc>
      </w:tr>
      <w:tr w14:paraId="0A09116F">
        <w:tc>
          <w:tcPr>
            <w:tcW w:w="2405" w:type="dxa"/>
            <w:shd w:val="clear" w:color="auto" w:fill="F1F1F1" w:themeFill="background1" w:themeFillShade="F2"/>
          </w:tcPr>
          <w:p w14:paraId="2410BF3B">
            <w:pPr>
              <w:pStyle w:val="35"/>
              <w:snapToGrid w:val="0"/>
              <w:spacing w:before="0" w:after="0"/>
              <w:ind w:left="0"/>
              <w:contextualSpacing w:val="0"/>
              <w:rPr>
                <w:highlight w:val="none"/>
                <w:lang w:val="en-US"/>
              </w:rPr>
            </w:pPr>
            <w:r>
              <w:rPr>
                <w:highlight w:val="none"/>
                <w:lang w:val="en-US"/>
              </w:rPr>
              <w:t>Justification of choice of data or description of measurement methods and procedures applied</w:t>
            </w:r>
          </w:p>
        </w:tc>
        <w:tc>
          <w:tcPr>
            <w:tcW w:w="6083" w:type="dxa"/>
          </w:tcPr>
          <w:p w14:paraId="047F2D0D">
            <w:pPr>
              <w:rPr>
                <w:bCs/>
                <w:highlight w:val="none"/>
                <w:lang w:val="en-US"/>
              </w:rPr>
            </w:pPr>
            <w:r>
              <w:rPr>
                <w:bCs/>
                <w:highlight w:val="none"/>
                <w:lang w:val="en-US"/>
              </w:rPr>
              <w:t>As per table 10, pages 20 and 21 from the tool, the quantity of electricity consumption are measured by the project holder continuously.</w:t>
            </w:r>
          </w:p>
        </w:tc>
      </w:tr>
      <w:tr w14:paraId="2C0DC108">
        <w:tc>
          <w:tcPr>
            <w:tcW w:w="2405" w:type="dxa"/>
            <w:shd w:val="clear" w:color="auto" w:fill="F1F1F1" w:themeFill="background1" w:themeFillShade="F2"/>
          </w:tcPr>
          <w:p w14:paraId="637AF667">
            <w:pPr>
              <w:pStyle w:val="35"/>
              <w:snapToGrid w:val="0"/>
              <w:spacing w:before="0" w:after="0"/>
              <w:ind w:left="0"/>
              <w:contextualSpacing w:val="0"/>
              <w:rPr>
                <w:highlight w:val="none"/>
                <w:lang w:val="en-US"/>
              </w:rPr>
            </w:pPr>
            <w:r>
              <w:rPr>
                <w:highlight w:val="none"/>
                <w:lang w:val="en-US"/>
              </w:rPr>
              <w:t>Purpose of data</w:t>
            </w:r>
          </w:p>
        </w:tc>
        <w:tc>
          <w:tcPr>
            <w:tcW w:w="6083" w:type="dxa"/>
          </w:tcPr>
          <w:p w14:paraId="59A969FE">
            <w:pPr>
              <w:pStyle w:val="22"/>
              <w:spacing w:before="0" w:beforeAutospacing="0" w:after="0" w:afterAutospacing="0"/>
              <w:rPr>
                <w:rFonts w:ascii="Arial" w:hAnsi="Arial" w:cs="Arial" w:eastAsiaTheme="minorHAnsi"/>
                <w:sz w:val="22"/>
                <w:szCs w:val="22"/>
                <w:highlight w:val="none"/>
                <w:lang w:eastAsia="en-US"/>
              </w:rPr>
            </w:pPr>
            <w:r>
              <w:rPr>
                <w:rFonts w:ascii="Arial" w:hAnsi="Arial" w:cs="Arial" w:eastAsiaTheme="minorHAnsi"/>
                <w:sz w:val="22"/>
                <w:szCs w:val="22"/>
                <w:highlight w:val="none"/>
                <w:lang w:eastAsia="en-US"/>
              </w:rPr>
              <w:t>Determination of the project emissions</w:t>
            </w:r>
          </w:p>
        </w:tc>
      </w:tr>
      <w:tr w14:paraId="26AC4669">
        <w:trPr>
          <w:trHeight w:val="255" w:hRule="atLeast"/>
        </w:trPr>
        <w:tc>
          <w:tcPr>
            <w:tcW w:w="2405" w:type="dxa"/>
            <w:shd w:val="clear" w:color="auto" w:fill="F1F1F1" w:themeFill="background1" w:themeFillShade="F2"/>
          </w:tcPr>
          <w:p w14:paraId="5C052203">
            <w:pPr>
              <w:pStyle w:val="35"/>
              <w:snapToGrid w:val="0"/>
              <w:spacing w:before="0" w:after="0"/>
              <w:ind w:left="0"/>
              <w:contextualSpacing w:val="0"/>
              <w:rPr>
                <w:highlight w:val="none"/>
                <w:lang w:val="en-US"/>
              </w:rPr>
            </w:pPr>
            <w:r>
              <w:rPr>
                <w:highlight w:val="none"/>
                <w:lang w:val="en-US"/>
              </w:rPr>
              <w:t>Monitoring frequency</w:t>
            </w:r>
          </w:p>
        </w:tc>
        <w:tc>
          <w:tcPr>
            <w:tcW w:w="6083" w:type="dxa"/>
          </w:tcPr>
          <w:p w14:paraId="25F379BD">
            <w:pPr>
              <w:pStyle w:val="35"/>
              <w:snapToGrid w:val="0"/>
              <w:spacing w:before="0" w:after="0"/>
              <w:ind w:left="0"/>
              <w:contextualSpacing w:val="0"/>
              <w:rPr>
                <w:highlight w:val="none"/>
                <w:lang w:val="en-US"/>
              </w:rPr>
            </w:pPr>
            <w:r>
              <w:rPr>
                <w:highlight w:val="none"/>
                <w:lang w:val="en-US"/>
              </w:rPr>
              <w:t>Monitored continuously with the invoice of electricity consumption by the supplier.</w:t>
            </w:r>
          </w:p>
        </w:tc>
      </w:tr>
      <w:tr w14:paraId="23169CA3">
        <w:trPr>
          <w:trHeight w:val="255" w:hRule="atLeast"/>
        </w:trPr>
        <w:tc>
          <w:tcPr>
            <w:tcW w:w="2405" w:type="dxa"/>
            <w:shd w:val="clear" w:color="auto" w:fill="F1F1F1" w:themeFill="background1" w:themeFillShade="F2"/>
          </w:tcPr>
          <w:p w14:paraId="3C81685A">
            <w:pPr>
              <w:pStyle w:val="35"/>
              <w:snapToGrid w:val="0"/>
              <w:spacing w:before="0" w:after="0"/>
              <w:ind w:left="0"/>
              <w:contextualSpacing w:val="0"/>
              <w:rPr>
                <w:highlight w:val="none"/>
                <w:lang w:val="en-US"/>
              </w:rPr>
            </w:pPr>
            <w:r>
              <w:rPr>
                <w:highlight w:val="none"/>
                <w:lang w:val="en-US"/>
              </w:rPr>
              <w:t>Any comments</w:t>
            </w:r>
          </w:p>
        </w:tc>
        <w:tc>
          <w:tcPr>
            <w:tcW w:w="6083" w:type="dxa"/>
          </w:tcPr>
          <w:p w14:paraId="4B5D2235">
            <w:pPr>
              <w:pStyle w:val="35"/>
              <w:snapToGrid w:val="0"/>
              <w:spacing w:before="0" w:after="0"/>
              <w:ind w:left="0"/>
              <w:contextualSpacing w:val="0"/>
              <w:rPr>
                <w:rFonts w:hint="default"/>
                <w:highlight w:val="none"/>
                <w:lang w:val="es-ES"/>
              </w:rPr>
            </w:pPr>
            <w:r>
              <w:rPr>
                <w:rFonts w:hint="default"/>
                <w:highlight w:val="none"/>
                <w:lang w:val="es-ES"/>
              </w:rPr>
              <w:t>-</w:t>
            </w:r>
          </w:p>
        </w:tc>
      </w:tr>
    </w:tbl>
    <w:p w14:paraId="7C773659">
      <w:pPr>
        <w:rPr>
          <w:highlight w:val="none"/>
        </w:rPr>
      </w:pPr>
    </w:p>
    <w:p w14:paraId="654CB38C">
      <w:pPr>
        <w:pStyle w:val="2"/>
        <w:rPr>
          <w:highlight w:val="none"/>
        </w:rPr>
      </w:pPr>
      <w:bookmarkStart w:id="127" w:name="_Toc1091248841"/>
      <w:r>
        <w:rPr>
          <w:highlight w:val="none"/>
        </w:rPr>
        <w:t>Quantification of GHG emission reduction / removals</w:t>
      </w:r>
      <w:bookmarkEnd w:id="127"/>
    </w:p>
    <w:p w14:paraId="07E8C0C1">
      <w:pPr>
        <w:pStyle w:val="3"/>
        <w:rPr>
          <w:highlight w:val="none"/>
        </w:rPr>
      </w:pPr>
      <w:bookmarkStart w:id="128" w:name="_Toc1108925307"/>
      <w:r>
        <w:rPr>
          <w:highlight w:val="none"/>
        </w:rPr>
        <w:t>Baseline emissions</w:t>
      </w:r>
      <w:bookmarkEnd w:id="128"/>
    </w:p>
    <w:p w14:paraId="313C5AB4">
      <w:pPr>
        <w:spacing w:before="180" w:after="0"/>
        <w:rPr>
          <w:rFonts w:eastAsia="Arial"/>
          <w:highlight w:val="none"/>
          <w:lang w:val="en-US"/>
        </w:rPr>
      </w:pPr>
      <w:r>
        <w:rPr>
          <w:rFonts w:eastAsia="Arial"/>
          <w:highlight w:val="none"/>
          <w:lang w:val="en-US"/>
        </w:rPr>
        <w:t>As per para 24 of the applied methodology (AMS III.F.), baseline emissions shall exclude emissions of methane that would have to be captured, fuelled or flared to comply with national or local safety requirements or legal regulations.</w:t>
      </w:r>
    </w:p>
    <w:tbl>
      <w:tblPr>
        <w:tblStyle w:val="12"/>
        <w:tblW w:w="8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80"/>
      </w:tblGrid>
      <w:tr w14:paraId="5D0D1D93">
        <w:trPr>
          <w:trHeight w:val="357" w:hRule="atLeast"/>
          <w:jc w:val="center"/>
        </w:trPr>
        <w:tc>
          <w:tcPr>
            <w:tcW w:w="8080" w:type="dxa"/>
            <w:tcBorders>
              <w:top w:val="nil"/>
              <w:left w:val="nil"/>
              <w:bottom w:val="nil"/>
              <w:right w:val="nil"/>
            </w:tcBorders>
            <w:tcMar>
              <w:top w:w="100" w:type="dxa"/>
              <w:left w:w="100" w:type="dxa"/>
              <w:bottom w:w="100" w:type="dxa"/>
              <w:right w:w="100" w:type="dxa"/>
            </w:tcMar>
          </w:tcPr>
          <w:p w14:paraId="4C04F15F">
            <w:pPr>
              <w:spacing w:before="0" w:after="0"/>
              <w:ind w:left="680"/>
              <w:rPr>
                <w:rFonts w:eastAsia="Arial"/>
                <w:i/>
                <w:highlight w:val="none"/>
                <w:lang w:val="en-US"/>
              </w:rPr>
            </w:pPr>
            <w:r>
              <w:rPr>
                <w:rFonts w:eastAsia="Arial"/>
                <w:i/>
                <w:highlight w:val="none"/>
                <w:lang w:val="en-US"/>
              </w:rPr>
              <w:tab/>
            </w:r>
            <w:r>
              <w:rPr>
                <w:rFonts w:ascii="Cambria Math" w:hAnsi="Cambria Math" w:eastAsia="Arial" w:cs="Cambria Math"/>
                <w:i/>
                <w:highlight w:val="none"/>
                <w:lang w:val="en-US"/>
              </w:rPr>
              <w:t>𝐵𝐸</w:t>
            </w:r>
            <w:r>
              <w:rPr>
                <w:rFonts w:ascii="Cambria Math" w:hAnsi="Cambria Math" w:eastAsia="Arial" w:cs="Cambria Math"/>
                <w:i/>
                <w:sz w:val="16"/>
                <w:szCs w:val="16"/>
                <w:highlight w:val="none"/>
                <w:lang w:val="en-US"/>
              </w:rPr>
              <w:t>𝑦</w:t>
            </w:r>
            <w:r>
              <w:rPr>
                <w:rFonts w:eastAsia="Arial"/>
                <w:i/>
                <w:sz w:val="16"/>
                <w:szCs w:val="16"/>
                <w:highlight w:val="none"/>
                <w:lang w:val="en-US"/>
              </w:rPr>
              <w:t xml:space="preserve"> </w:t>
            </w:r>
            <w:r>
              <w:rPr>
                <w:rFonts w:eastAsia="Arial"/>
                <w:i/>
                <w:highlight w:val="none"/>
                <w:lang w:val="en-US"/>
              </w:rPr>
              <w:t xml:space="preserve">= </w:t>
            </w:r>
            <w:r>
              <w:rPr>
                <w:rFonts w:ascii="Cambria Math" w:hAnsi="Cambria Math" w:eastAsia="Arial" w:cs="Cambria Math"/>
                <w:i/>
                <w:highlight w:val="none"/>
                <w:lang w:val="en-US"/>
              </w:rPr>
              <w:t>𝐵𝐸</w:t>
            </w:r>
            <w:r>
              <w:rPr>
                <w:rFonts w:hint="default" w:ascii="Cambria Math" w:hAnsi="Cambria Math" w:eastAsia="Arial" w:cs="Cambria Math"/>
                <w:i/>
                <w:highlight w:val="none"/>
                <w:lang w:val="es-ES"/>
              </w:rPr>
              <w:t xml:space="preserve">  </w:t>
            </w:r>
            <w:r>
              <w:rPr>
                <w:rFonts w:eastAsia="Arial"/>
                <w:i/>
                <w:sz w:val="16"/>
                <w:szCs w:val="16"/>
                <w:highlight w:val="none"/>
                <w:lang w:val="en-US"/>
              </w:rPr>
              <w:t>CH4,</w:t>
            </w:r>
            <w:r>
              <w:rPr>
                <w:rFonts w:ascii="Cambria Math" w:hAnsi="Cambria Math" w:eastAsia="Arial" w:cs="Cambria Math"/>
                <w:i/>
                <w:sz w:val="16"/>
                <w:szCs w:val="16"/>
                <w:highlight w:val="none"/>
                <w:lang w:val="en-US"/>
              </w:rPr>
              <w:t>𝑆𝑊𝐷𝑆</w:t>
            </w:r>
            <w:r>
              <w:rPr>
                <w:rFonts w:eastAsia="Arial"/>
                <w:i/>
                <w:sz w:val="16"/>
                <w:szCs w:val="16"/>
                <w:highlight w:val="none"/>
                <w:lang w:val="en-US"/>
              </w:rPr>
              <w:t>,</w:t>
            </w:r>
            <w:r>
              <w:rPr>
                <w:rFonts w:ascii="Cambria Math" w:hAnsi="Cambria Math" w:eastAsia="Arial" w:cs="Cambria Math"/>
                <w:i/>
                <w:sz w:val="16"/>
                <w:szCs w:val="16"/>
                <w:highlight w:val="none"/>
                <w:lang w:val="en-US"/>
              </w:rPr>
              <w:t>𝑦</w:t>
            </w:r>
            <w:r>
              <w:rPr>
                <w:rFonts w:eastAsia="Arial"/>
                <w:i/>
                <w:sz w:val="16"/>
                <w:szCs w:val="16"/>
                <w:highlight w:val="none"/>
                <w:lang w:val="en-US"/>
              </w:rPr>
              <w:t xml:space="preserve"> </w:t>
            </w:r>
            <w:r>
              <w:rPr>
                <w:rFonts w:hint="default" w:eastAsia="Arial"/>
                <w:i/>
                <w:sz w:val="16"/>
                <w:szCs w:val="16"/>
                <w:highlight w:val="none"/>
                <w:lang w:val="es-ES"/>
              </w:rPr>
              <w:t xml:space="preserve"> </w:t>
            </w:r>
            <w:r>
              <w:rPr>
                <w:rFonts w:eastAsia="Arial"/>
                <w:i/>
                <w:highlight w:val="none"/>
                <w:lang w:val="en-US"/>
              </w:rPr>
              <w:t xml:space="preserve">+ </w:t>
            </w:r>
            <w:r>
              <w:rPr>
                <w:rFonts w:ascii="Cambria Math" w:hAnsi="Cambria Math" w:eastAsia="Arial" w:cs="Cambria Math"/>
                <w:i/>
                <w:highlight w:val="none"/>
                <w:lang w:val="en-US"/>
              </w:rPr>
              <w:t>𝐵𝐸</w:t>
            </w:r>
            <w:r>
              <w:rPr>
                <w:rFonts w:ascii="Cambria Math" w:hAnsi="Cambria Math" w:eastAsia="Arial" w:cs="Cambria Math"/>
                <w:i/>
                <w:sz w:val="16"/>
                <w:szCs w:val="16"/>
                <w:highlight w:val="none"/>
                <w:lang w:val="en-US"/>
              </w:rPr>
              <w:t>𝑤𝑤</w:t>
            </w:r>
            <w:r>
              <w:rPr>
                <w:rFonts w:eastAsia="Arial"/>
                <w:i/>
                <w:sz w:val="16"/>
                <w:szCs w:val="16"/>
                <w:highlight w:val="none"/>
                <w:lang w:val="en-US"/>
              </w:rPr>
              <w:t>,</w:t>
            </w:r>
            <w:r>
              <w:rPr>
                <w:rFonts w:ascii="Cambria Math" w:hAnsi="Cambria Math" w:eastAsia="Arial" w:cs="Cambria Math"/>
                <w:i/>
                <w:sz w:val="16"/>
                <w:szCs w:val="16"/>
                <w:highlight w:val="none"/>
                <w:lang w:val="en-US"/>
              </w:rPr>
              <w:t>𝑦</w:t>
            </w:r>
            <w:r>
              <w:rPr>
                <w:rFonts w:eastAsia="Arial"/>
                <w:i/>
                <w:sz w:val="16"/>
                <w:szCs w:val="16"/>
                <w:highlight w:val="none"/>
                <w:lang w:val="en-US"/>
              </w:rPr>
              <w:t xml:space="preserve"> </w:t>
            </w:r>
            <w:r>
              <w:rPr>
                <w:rFonts w:hint="default" w:eastAsia="Arial"/>
                <w:i/>
                <w:sz w:val="16"/>
                <w:szCs w:val="16"/>
                <w:highlight w:val="none"/>
                <w:lang w:val="es-ES"/>
              </w:rPr>
              <w:t xml:space="preserve"> </w:t>
            </w:r>
            <w:r>
              <w:rPr>
                <w:rFonts w:eastAsia="Arial"/>
                <w:i/>
                <w:highlight w:val="none"/>
                <w:lang w:val="en-US"/>
              </w:rPr>
              <w:t xml:space="preserve">+ </w:t>
            </w:r>
            <w:r>
              <w:rPr>
                <w:rFonts w:ascii="Cambria Math" w:hAnsi="Cambria Math" w:eastAsia="Arial" w:cs="Cambria Math"/>
                <w:i/>
                <w:highlight w:val="none"/>
                <w:lang w:val="en-US"/>
              </w:rPr>
              <w:t>𝐵𝐸</w:t>
            </w:r>
            <w:r>
              <w:rPr>
                <w:rFonts w:hint="default" w:ascii="Cambria Math" w:hAnsi="Cambria Math" w:eastAsia="Arial" w:cs="Cambria Math"/>
                <w:i/>
                <w:highlight w:val="none"/>
                <w:lang w:val="es-ES"/>
              </w:rPr>
              <w:t xml:space="preserve">   </w:t>
            </w:r>
            <w:r>
              <w:rPr>
                <w:rFonts w:eastAsia="Arial"/>
                <w:i/>
                <w:sz w:val="16"/>
                <w:szCs w:val="16"/>
                <w:highlight w:val="none"/>
                <w:lang w:val="en-US"/>
              </w:rPr>
              <w:t>CH4,</w:t>
            </w:r>
            <w:r>
              <w:rPr>
                <w:rFonts w:ascii="Cambria Math" w:hAnsi="Cambria Math" w:eastAsia="Arial" w:cs="Cambria Math"/>
                <w:i/>
                <w:sz w:val="16"/>
                <w:szCs w:val="16"/>
                <w:highlight w:val="none"/>
                <w:lang w:val="en-US"/>
              </w:rPr>
              <w:t>𝑚𝑎𝑛𝑢𝑟𝑒</w:t>
            </w:r>
            <w:r>
              <w:rPr>
                <w:rFonts w:eastAsia="Arial"/>
                <w:i/>
                <w:sz w:val="16"/>
                <w:szCs w:val="16"/>
                <w:highlight w:val="none"/>
                <w:lang w:val="en-US"/>
              </w:rPr>
              <w:t>,</w:t>
            </w:r>
            <w:r>
              <w:rPr>
                <w:rFonts w:ascii="Cambria Math" w:hAnsi="Cambria Math" w:eastAsia="Arial" w:cs="Cambria Math"/>
                <w:i/>
                <w:sz w:val="16"/>
                <w:szCs w:val="16"/>
                <w:highlight w:val="none"/>
                <w:lang w:val="en-US"/>
              </w:rPr>
              <w:t>𝑦</w:t>
            </w:r>
            <w:r>
              <w:rPr>
                <w:rFonts w:eastAsia="Arial"/>
                <w:i/>
                <w:sz w:val="16"/>
                <w:szCs w:val="16"/>
                <w:highlight w:val="none"/>
                <w:lang w:val="en-US"/>
              </w:rPr>
              <w:t xml:space="preserve"> </w:t>
            </w:r>
            <w:r>
              <w:rPr>
                <w:rFonts w:hint="default" w:eastAsia="Arial"/>
                <w:i/>
                <w:sz w:val="16"/>
                <w:szCs w:val="16"/>
                <w:highlight w:val="none"/>
                <w:lang w:val="es-ES"/>
              </w:rPr>
              <w:t xml:space="preserve"> </w:t>
            </w:r>
            <w:r>
              <w:rPr>
                <w:rFonts w:eastAsia="Arial"/>
                <w:i/>
                <w:highlight w:val="none"/>
                <w:lang w:val="en-US"/>
              </w:rPr>
              <w:t xml:space="preserve">− </w:t>
            </w:r>
            <w:r>
              <w:rPr>
                <w:rFonts w:ascii="Cambria Math" w:hAnsi="Cambria Math" w:eastAsia="Arial" w:cs="Cambria Math"/>
                <w:i/>
                <w:highlight w:val="none"/>
                <w:lang w:val="en-US"/>
              </w:rPr>
              <w:t>𝑀𝐷</w:t>
            </w:r>
            <w:r>
              <w:rPr>
                <w:rFonts w:ascii="Cambria Math" w:hAnsi="Cambria Math" w:eastAsia="Arial" w:cs="Cambria Math"/>
                <w:i/>
                <w:sz w:val="16"/>
                <w:szCs w:val="16"/>
                <w:highlight w:val="none"/>
                <w:lang w:val="en-US"/>
              </w:rPr>
              <w:t>𝑦</w:t>
            </w:r>
            <w:r>
              <w:rPr>
                <w:rFonts w:hint="default" w:ascii="Cambria Math" w:hAnsi="Cambria Math" w:eastAsia="Arial" w:cs="Cambria Math"/>
                <w:i/>
                <w:sz w:val="16"/>
                <w:szCs w:val="16"/>
                <w:highlight w:val="none"/>
                <w:lang w:val="es-ES"/>
              </w:rPr>
              <w:t xml:space="preserve">  </w:t>
            </w:r>
            <w:r>
              <w:rPr>
                <w:rFonts w:eastAsia="Arial"/>
                <w:i/>
                <w:sz w:val="16"/>
                <w:szCs w:val="16"/>
                <w:highlight w:val="none"/>
                <w:lang w:val="en-US"/>
              </w:rPr>
              <w:t>,</w:t>
            </w:r>
            <w:r>
              <w:rPr>
                <w:rFonts w:ascii="Cambria Math" w:hAnsi="Cambria Math" w:eastAsia="Arial" w:cs="Cambria Math"/>
                <w:i/>
                <w:sz w:val="16"/>
                <w:szCs w:val="16"/>
                <w:highlight w:val="none"/>
                <w:lang w:val="en-US"/>
              </w:rPr>
              <w:t>𝑟𝑒𝑔</w:t>
            </w:r>
            <w:r>
              <w:rPr>
                <w:rFonts w:eastAsia="Arial"/>
                <w:i/>
                <w:sz w:val="16"/>
                <w:szCs w:val="16"/>
                <w:highlight w:val="none"/>
                <w:lang w:val="en-US"/>
              </w:rPr>
              <w:t xml:space="preserve"> </w:t>
            </w:r>
            <w:r>
              <w:rPr>
                <w:rFonts w:eastAsia="Arial"/>
                <w:i/>
                <w:highlight w:val="none"/>
                <w:lang w:val="en-US"/>
              </w:rPr>
              <w:t xml:space="preserve">× </w:t>
            </w:r>
            <w:r>
              <w:rPr>
                <w:rFonts w:ascii="Cambria Math" w:hAnsi="Cambria Math" w:eastAsia="Arial" w:cs="Cambria Math"/>
                <w:i/>
                <w:highlight w:val="none"/>
                <w:lang w:val="en-US"/>
              </w:rPr>
              <w:t>𝐺𝑊𝑃</w:t>
            </w:r>
            <w:r>
              <w:rPr>
                <w:rFonts w:hint="default" w:ascii="Cambria Math" w:hAnsi="Cambria Math" w:eastAsia="Arial" w:cs="Cambria Math"/>
                <w:i/>
                <w:highlight w:val="none"/>
                <w:lang w:val="es-ES"/>
              </w:rPr>
              <w:t xml:space="preserve">  </w:t>
            </w:r>
            <w:r>
              <w:rPr>
                <w:rFonts w:eastAsia="Arial"/>
                <w:i/>
                <w:sz w:val="16"/>
                <w:szCs w:val="16"/>
                <w:highlight w:val="none"/>
                <w:lang w:val="en-US"/>
              </w:rPr>
              <w:t xml:space="preserve">CH4 </w:t>
            </w:r>
          </w:p>
        </w:tc>
      </w:tr>
    </w:tbl>
    <w:p w14:paraId="746A0161">
      <w:pPr>
        <w:keepNext w:val="0"/>
        <w:keepLines w:val="0"/>
        <w:pageBreakBefore w:val="0"/>
        <w:widowControl/>
        <w:kinsoku/>
        <w:wordWrap/>
        <w:overflowPunct/>
        <w:topLinePunct w:val="0"/>
        <w:autoSpaceDE/>
        <w:autoSpaceDN/>
        <w:bidi w:val="0"/>
        <w:adjustRightInd/>
        <w:snapToGrid/>
        <w:spacing w:before="0" w:after="0"/>
        <w:textAlignment w:val="auto"/>
        <w:rPr>
          <w:rFonts w:eastAsia="Arial"/>
          <w:highlight w:val="none"/>
          <w:lang w:val="en-US"/>
        </w:rPr>
      </w:pPr>
      <w:r>
        <w:rPr>
          <w:rFonts w:eastAsia="Arial"/>
          <w:highlight w:val="none"/>
          <w:lang w:val="en-US"/>
        </w:rPr>
        <w:t>Where:</w:t>
      </w:r>
    </w:p>
    <w:tbl>
      <w:tblPr>
        <w:tblStyle w:val="12"/>
        <w:tblW w:w="8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425"/>
        <w:gridCol w:w="6521"/>
      </w:tblGrid>
      <w:tr w14:paraId="5B82F7EA">
        <w:trPr>
          <w:trHeight w:val="17" w:hRule="atLeast"/>
        </w:trPr>
        <w:tc>
          <w:tcPr>
            <w:tcW w:w="1418" w:type="dxa"/>
            <w:tcMar>
              <w:top w:w="80" w:type="dxa"/>
              <w:left w:w="100" w:type="dxa"/>
              <w:bottom w:w="20" w:type="dxa"/>
              <w:right w:w="100" w:type="dxa"/>
            </w:tcMar>
          </w:tcPr>
          <w:p w14:paraId="4F5B96D2">
            <w:pPr>
              <w:spacing w:before="0" w:after="0"/>
              <w:rPr>
                <w:rFonts w:eastAsia="Arial"/>
                <w:i/>
                <w:highlight w:val="none"/>
                <w:lang w:val="en-US"/>
              </w:rPr>
            </w:pPr>
            <w:r>
              <w:rPr>
                <w:rFonts w:ascii="Cambria Math" w:hAnsi="Cambria Math" w:eastAsia="Arial" w:cs="Cambria Math"/>
                <w:i/>
                <w:highlight w:val="none"/>
                <w:lang w:val="en-US"/>
              </w:rPr>
              <w:t>𝐵𝐸</w:t>
            </w:r>
            <w:r>
              <w:rPr>
                <w:rFonts w:hint="default" w:ascii="Cambria Math" w:hAnsi="Cambria Math" w:eastAsia="Arial" w:cs="Cambria Math"/>
                <w:i/>
                <w:highlight w:val="none"/>
                <w:lang w:val="es-ES"/>
              </w:rPr>
              <w:t xml:space="preserve">  </w:t>
            </w:r>
            <w:r>
              <w:rPr>
                <w:rFonts w:ascii="Cambria Math" w:hAnsi="Cambria Math" w:eastAsia="Arial" w:cs="Cambria Math"/>
                <w:i/>
                <w:sz w:val="16"/>
                <w:szCs w:val="16"/>
                <w:highlight w:val="none"/>
                <w:lang w:val="en-US"/>
              </w:rPr>
              <w:t>𝑦</w:t>
            </w:r>
          </w:p>
        </w:tc>
        <w:tc>
          <w:tcPr>
            <w:tcW w:w="425" w:type="dxa"/>
            <w:tcMar>
              <w:top w:w="80" w:type="dxa"/>
              <w:left w:w="100" w:type="dxa"/>
              <w:bottom w:w="20" w:type="dxa"/>
              <w:right w:w="100" w:type="dxa"/>
            </w:tcMar>
          </w:tcPr>
          <w:p w14:paraId="37CA813F">
            <w:pPr>
              <w:spacing w:before="0" w:after="0"/>
              <w:rPr>
                <w:rFonts w:eastAsia="Arial"/>
                <w:i/>
                <w:highlight w:val="none"/>
                <w:lang w:val="en-US"/>
              </w:rPr>
            </w:pPr>
            <w:r>
              <w:rPr>
                <w:rFonts w:eastAsia="Arial"/>
                <w:i/>
                <w:highlight w:val="none"/>
                <w:lang w:val="en-US"/>
              </w:rPr>
              <w:t>=</w:t>
            </w:r>
          </w:p>
        </w:tc>
        <w:tc>
          <w:tcPr>
            <w:tcW w:w="6521" w:type="dxa"/>
            <w:tcMar>
              <w:top w:w="80" w:type="dxa"/>
              <w:left w:w="100" w:type="dxa"/>
              <w:bottom w:w="20" w:type="dxa"/>
              <w:right w:w="100" w:type="dxa"/>
            </w:tcMar>
          </w:tcPr>
          <w:p w14:paraId="684119B3">
            <w:pPr>
              <w:spacing w:before="0" w:after="0"/>
              <w:rPr>
                <w:rFonts w:eastAsia="Arial"/>
                <w:i/>
                <w:highlight w:val="none"/>
                <w:lang w:val="en-US"/>
              </w:rPr>
            </w:pPr>
            <w:r>
              <w:rPr>
                <w:rFonts w:eastAsia="Arial"/>
                <w:i/>
                <w:highlight w:val="none"/>
                <w:lang w:val="en-US"/>
              </w:rPr>
              <w:t>Baseline emissions in the year y (tCO</w:t>
            </w:r>
            <w:r>
              <w:rPr>
                <w:rFonts w:eastAsia="Arial"/>
                <w:i/>
                <w:highlight w:val="none"/>
                <w:vertAlign w:val="subscript"/>
                <w:lang w:val="en-US"/>
              </w:rPr>
              <w:t>2</w:t>
            </w:r>
            <w:r>
              <w:rPr>
                <w:rFonts w:eastAsia="Arial"/>
                <w:i/>
                <w:highlight w:val="none"/>
                <w:lang w:val="en-US"/>
              </w:rPr>
              <w:t>e)</w:t>
            </w:r>
          </w:p>
        </w:tc>
      </w:tr>
      <w:tr w14:paraId="36747D7C">
        <w:trPr>
          <w:trHeight w:val="90" w:hRule="atLeast"/>
        </w:trPr>
        <w:tc>
          <w:tcPr>
            <w:tcW w:w="1418" w:type="dxa"/>
            <w:tcMar>
              <w:top w:w="80" w:type="dxa"/>
              <w:left w:w="100" w:type="dxa"/>
              <w:bottom w:w="20" w:type="dxa"/>
              <w:right w:w="100" w:type="dxa"/>
            </w:tcMar>
          </w:tcPr>
          <w:p w14:paraId="157D3D4B">
            <w:pPr>
              <w:spacing w:before="0" w:after="0"/>
              <w:rPr>
                <w:rFonts w:eastAsia="Arial"/>
                <w:i/>
                <w:highlight w:val="none"/>
                <w:lang w:val="en-US"/>
              </w:rPr>
            </w:pPr>
            <w:r>
              <w:rPr>
                <w:rFonts w:ascii="Cambria Math" w:hAnsi="Cambria Math" w:eastAsia="Arial" w:cs="Cambria Math"/>
                <w:i/>
                <w:sz w:val="20"/>
                <w:szCs w:val="20"/>
                <w:highlight w:val="none"/>
                <w:lang w:val="en-US"/>
              </w:rPr>
              <w:t>𝐵𝐸</w:t>
            </w:r>
            <w:r>
              <w:rPr>
                <w:rFonts w:hint="default" w:ascii="Cambria Math" w:hAnsi="Cambria Math" w:eastAsia="Arial" w:cs="Cambria Math"/>
                <w:i/>
                <w:sz w:val="20"/>
                <w:szCs w:val="20"/>
                <w:highlight w:val="none"/>
                <w:lang w:val="es-ES"/>
              </w:rPr>
              <w:t xml:space="preserve">    </w:t>
            </w:r>
            <w:r>
              <w:rPr>
                <w:rFonts w:eastAsia="Arial"/>
                <w:i/>
                <w:sz w:val="14"/>
                <w:szCs w:val="14"/>
                <w:highlight w:val="none"/>
                <w:lang w:val="en-US"/>
              </w:rPr>
              <w:t>CH4,</w:t>
            </w:r>
            <w:r>
              <w:rPr>
                <w:rFonts w:ascii="Cambria Math" w:hAnsi="Cambria Math" w:eastAsia="Arial" w:cs="Cambria Math"/>
                <w:i/>
                <w:sz w:val="14"/>
                <w:szCs w:val="14"/>
                <w:highlight w:val="none"/>
                <w:lang w:val="en-US"/>
              </w:rPr>
              <w:t>𝑆𝑊𝐷𝑆</w:t>
            </w:r>
            <w:r>
              <w:rPr>
                <w:rFonts w:eastAsia="Arial"/>
                <w:i/>
                <w:sz w:val="14"/>
                <w:szCs w:val="14"/>
                <w:highlight w:val="none"/>
                <w:lang w:val="en-US"/>
              </w:rPr>
              <w:t>,</w:t>
            </w:r>
            <w:r>
              <w:rPr>
                <w:rFonts w:ascii="Cambria Math" w:hAnsi="Cambria Math" w:eastAsia="Arial" w:cs="Cambria Math"/>
                <w:i/>
                <w:sz w:val="14"/>
                <w:szCs w:val="14"/>
                <w:highlight w:val="none"/>
                <w:lang w:val="en-US"/>
              </w:rPr>
              <w:t>𝑦</w:t>
            </w:r>
            <w:r>
              <w:rPr>
                <w:rFonts w:eastAsia="Arial"/>
                <w:i/>
                <w:sz w:val="14"/>
                <w:szCs w:val="14"/>
                <w:highlight w:val="none"/>
                <w:lang w:val="en-US"/>
              </w:rPr>
              <w:t xml:space="preserve"> </w:t>
            </w:r>
          </w:p>
        </w:tc>
        <w:tc>
          <w:tcPr>
            <w:tcW w:w="425" w:type="dxa"/>
            <w:tcMar>
              <w:top w:w="80" w:type="dxa"/>
              <w:left w:w="100" w:type="dxa"/>
              <w:bottom w:w="20" w:type="dxa"/>
              <w:right w:w="100" w:type="dxa"/>
            </w:tcMar>
          </w:tcPr>
          <w:p w14:paraId="1B7E49FC">
            <w:pPr>
              <w:spacing w:before="0" w:after="0"/>
              <w:rPr>
                <w:rFonts w:eastAsia="Arial"/>
                <w:i/>
                <w:highlight w:val="none"/>
                <w:lang w:val="en-US"/>
              </w:rPr>
            </w:pPr>
            <w:r>
              <w:rPr>
                <w:rFonts w:eastAsia="Arial"/>
                <w:i/>
                <w:highlight w:val="none"/>
                <w:lang w:val="en-US"/>
              </w:rPr>
              <w:t>=</w:t>
            </w:r>
          </w:p>
        </w:tc>
        <w:tc>
          <w:tcPr>
            <w:tcW w:w="6521" w:type="dxa"/>
            <w:tcMar>
              <w:top w:w="80" w:type="dxa"/>
              <w:left w:w="100" w:type="dxa"/>
              <w:bottom w:w="20" w:type="dxa"/>
              <w:right w:w="100" w:type="dxa"/>
            </w:tcMar>
          </w:tcPr>
          <w:p w14:paraId="4351E377">
            <w:pPr>
              <w:spacing w:before="0" w:after="0"/>
              <w:rPr>
                <w:rFonts w:eastAsia="Arial"/>
                <w:i/>
                <w:highlight w:val="none"/>
                <w:lang w:val="en-US"/>
              </w:rPr>
            </w:pPr>
            <w:r>
              <w:rPr>
                <w:rFonts w:eastAsia="Arial"/>
                <w:i/>
                <w:highlight w:val="none"/>
                <w:lang w:val="en-US"/>
              </w:rPr>
              <w:t>Yearly methane generation potential of the solid waste composted by the project activity during the years x from the beginning of the project activity (x=1) up to the year y estimated as per the latest version of the methodological tool “</w:t>
            </w:r>
            <w:r>
              <w:rPr>
                <w:highlight w:val="none"/>
              </w:rPr>
              <w:fldChar w:fldCharType="begin"/>
            </w:r>
            <w:r>
              <w:rPr>
                <w:highlight w:val="none"/>
              </w:rPr>
              <w:instrText xml:space="preserve"> HYPERLINK "http://cdm.unfccc.int/methodologies/PAmethodologies/tools/am-tool-04-v6.0.1.pdf/history_view" \h </w:instrText>
            </w:r>
            <w:r>
              <w:rPr>
                <w:highlight w:val="none"/>
              </w:rPr>
              <w:fldChar w:fldCharType="separate"/>
            </w:r>
            <w:r>
              <w:rPr>
                <w:rFonts w:eastAsia="Arial"/>
                <w:i/>
                <w:color w:val="0000FF"/>
                <w:highlight w:val="none"/>
                <w:lang w:val="en-US"/>
              </w:rPr>
              <w:t>Emissions from solid waste disposal sites</w:t>
            </w:r>
            <w:r>
              <w:rPr>
                <w:rFonts w:eastAsia="Arial"/>
                <w:i/>
                <w:color w:val="0000FF"/>
                <w:highlight w:val="none"/>
                <w:lang w:val="en-US"/>
              </w:rPr>
              <w:fldChar w:fldCharType="end"/>
            </w:r>
            <w:r>
              <w:rPr>
                <w:rFonts w:eastAsia="Arial"/>
                <w:i/>
                <w:highlight w:val="none"/>
                <w:lang w:val="en-US"/>
              </w:rPr>
              <w:t>” (tCO</w:t>
            </w:r>
            <w:r>
              <w:rPr>
                <w:rFonts w:eastAsia="Arial"/>
                <w:i/>
                <w:highlight w:val="none"/>
                <w:vertAlign w:val="subscript"/>
                <w:lang w:val="en-US"/>
              </w:rPr>
              <w:t>2</w:t>
            </w:r>
            <w:r>
              <w:rPr>
                <w:rFonts w:eastAsia="Arial"/>
                <w:i/>
                <w:highlight w:val="none"/>
                <w:lang w:val="en-US"/>
              </w:rPr>
              <w:t>e). The tool may be used with the factor “f=0.1” taking into account the methane oxidation effect by the upper layer of the landfill. With the definition of year x as ‘the year since the project activity started diverting wastes from landfill disposal, x runs from the first year of crediting period (x=1) to the year for which emissions are calculated (x=y)’</w:t>
            </w:r>
          </w:p>
        </w:tc>
      </w:tr>
      <w:tr w14:paraId="16B88DFE">
        <w:trPr>
          <w:trHeight w:val="720" w:hRule="atLeast"/>
        </w:trPr>
        <w:tc>
          <w:tcPr>
            <w:tcW w:w="1418" w:type="dxa"/>
            <w:tcMar>
              <w:top w:w="80" w:type="dxa"/>
              <w:left w:w="100" w:type="dxa"/>
              <w:bottom w:w="20" w:type="dxa"/>
              <w:right w:w="100" w:type="dxa"/>
            </w:tcMar>
          </w:tcPr>
          <w:p w14:paraId="1DA87D86">
            <w:pPr>
              <w:spacing w:before="0" w:after="0"/>
              <w:rPr>
                <w:rFonts w:eastAsia="Arial"/>
                <w:i/>
                <w:highlight w:val="none"/>
                <w:lang w:val="en-US"/>
              </w:rPr>
            </w:pPr>
            <w:r>
              <w:rPr>
                <w:rFonts w:ascii="Cambria Math" w:hAnsi="Cambria Math" w:eastAsia="Arial" w:cs="Cambria Math"/>
                <w:i/>
                <w:sz w:val="20"/>
                <w:szCs w:val="20"/>
                <w:highlight w:val="none"/>
                <w:lang w:val="en-US"/>
              </w:rPr>
              <w:t>𝑀𝐷</w:t>
            </w:r>
            <w:r>
              <w:rPr>
                <w:rFonts w:hint="default" w:ascii="Cambria Math" w:hAnsi="Cambria Math" w:eastAsia="Arial" w:cs="Cambria Math"/>
                <w:i/>
                <w:sz w:val="20"/>
                <w:szCs w:val="20"/>
                <w:highlight w:val="none"/>
                <w:lang w:val="es-ES"/>
              </w:rPr>
              <w:t xml:space="preserve">  </w:t>
            </w:r>
            <w:r>
              <w:rPr>
                <w:rFonts w:ascii="Cambria Math" w:hAnsi="Cambria Math" w:eastAsia="Arial" w:cs="Cambria Math"/>
                <w:i/>
                <w:sz w:val="14"/>
                <w:szCs w:val="14"/>
                <w:highlight w:val="none"/>
                <w:lang w:val="en-US"/>
              </w:rPr>
              <w:t>𝑦</w:t>
            </w:r>
            <w:r>
              <w:rPr>
                <w:rFonts w:eastAsia="Arial"/>
                <w:i/>
                <w:sz w:val="14"/>
                <w:szCs w:val="14"/>
                <w:highlight w:val="none"/>
                <w:lang w:val="en-US"/>
              </w:rPr>
              <w:t>,</w:t>
            </w:r>
            <w:r>
              <w:rPr>
                <w:rFonts w:ascii="Cambria Math" w:hAnsi="Cambria Math" w:eastAsia="Arial" w:cs="Cambria Math"/>
                <w:i/>
                <w:sz w:val="14"/>
                <w:szCs w:val="14"/>
                <w:highlight w:val="none"/>
                <w:lang w:val="en-US"/>
              </w:rPr>
              <w:t>𝑟𝑒𝑔</w:t>
            </w:r>
          </w:p>
        </w:tc>
        <w:tc>
          <w:tcPr>
            <w:tcW w:w="425" w:type="dxa"/>
            <w:tcMar>
              <w:top w:w="80" w:type="dxa"/>
              <w:left w:w="100" w:type="dxa"/>
              <w:bottom w:w="20" w:type="dxa"/>
              <w:right w:w="100" w:type="dxa"/>
            </w:tcMar>
          </w:tcPr>
          <w:p w14:paraId="68769599">
            <w:pPr>
              <w:spacing w:before="0" w:after="0"/>
              <w:rPr>
                <w:rFonts w:eastAsia="Arial"/>
                <w:i/>
                <w:highlight w:val="none"/>
                <w:lang w:val="en-US"/>
              </w:rPr>
            </w:pPr>
            <w:r>
              <w:rPr>
                <w:rFonts w:eastAsia="Arial"/>
                <w:i/>
                <w:highlight w:val="none"/>
                <w:lang w:val="en-US"/>
              </w:rPr>
              <w:t>=</w:t>
            </w:r>
          </w:p>
        </w:tc>
        <w:tc>
          <w:tcPr>
            <w:tcW w:w="6521" w:type="dxa"/>
            <w:tcMar>
              <w:top w:w="80" w:type="dxa"/>
              <w:left w:w="100" w:type="dxa"/>
              <w:bottom w:w="20" w:type="dxa"/>
              <w:right w:w="100" w:type="dxa"/>
            </w:tcMar>
          </w:tcPr>
          <w:p w14:paraId="7705DA78">
            <w:pPr>
              <w:spacing w:before="0" w:after="0"/>
              <w:rPr>
                <w:rFonts w:eastAsia="Arial"/>
                <w:i/>
                <w:highlight w:val="none"/>
                <w:lang w:val="en-US"/>
              </w:rPr>
            </w:pPr>
            <w:r>
              <w:rPr>
                <w:rFonts w:eastAsia="Arial"/>
                <w:i/>
                <w:highlight w:val="none"/>
                <w:lang w:val="en-US"/>
              </w:rPr>
              <w:t>Amount of methane that would have to be captured and combusted in the year y to comply with the prevailing regulations (tone)</w:t>
            </w:r>
          </w:p>
        </w:tc>
      </w:tr>
      <w:tr w14:paraId="58D24938">
        <w:trPr>
          <w:trHeight w:val="750" w:hRule="atLeast"/>
        </w:trPr>
        <w:tc>
          <w:tcPr>
            <w:tcW w:w="1418" w:type="dxa"/>
            <w:tcMar>
              <w:top w:w="80" w:type="dxa"/>
              <w:left w:w="100" w:type="dxa"/>
              <w:bottom w:w="20" w:type="dxa"/>
              <w:right w:w="100" w:type="dxa"/>
            </w:tcMar>
          </w:tcPr>
          <w:p w14:paraId="689043F9">
            <w:pPr>
              <w:spacing w:before="0" w:after="0"/>
              <w:ind w:left="200" w:hanging="200" w:hangingChars="100"/>
              <w:rPr>
                <w:rFonts w:eastAsia="Arial"/>
                <w:i/>
                <w:highlight w:val="none"/>
                <w:lang w:val="en-US"/>
              </w:rPr>
            </w:pPr>
            <w:r>
              <w:rPr>
                <w:rFonts w:ascii="Cambria Math" w:hAnsi="Cambria Math" w:eastAsia="Arial" w:cs="Cambria Math"/>
                <w:i/>
                <w:sz w:val="20"/>
                <w:szCs w:val="20"/>
                <w:highlight w:val="none"/>
                <w:lang w:val="en-US"/>
              </w:rPr>
              <w:t>𝐵𝐸</w:t>
            </w:r>
            <w:r>
              <w:rPr>
                <w:rFonts w:hint="default" w:ascii="Cambria Math" w:hAnsi="Cambria Math" w:eastAsia="Arial" w:cs="Cambria Math"/>
                <w:i/>
                <w:sz w:val="20"/>
                <w:szCs w:val="20"/>
                <w:highlight w:val="none"/>
                <w:lang w:val="es-ES"/>
              </w:rPr>
              <w:t xml:space="preserve"> </w:t>
            </w:r>
            <w:r>
              <w:rPr>
                <w:rFonts w:eastAsia="Arial"/>
                <w:i/>
                <w:sz w:val="14"/>
                <w:szCs w:val="14"/>
                <w:highlight w:val="none"/>
                <w:lang w:val="en-US"/>
              </w:rPr>
              <w:t>CH4,</w:t>
            </w:r>
            <w:r>
              <w:rPr>
                <w:rFonts w:ascii="Cambria Math" w:hAnsi="Cambria Math" w:eastAsia="Arial" w:cs="Cambria Math"/>
                <w:i/>
                <w:sz w:val="14"/>
                <w:szCs w:val="14"/>
                <w:highlight w:val="none"/>
                <w:lang w:val="en-US"/>
              </w:rPr>
              <w:t>𝑚𝑎𝑛𝑢𝑟𝑒</w:t>
            </w:r>
            <w:r>
              <w:rPr>
                <w:rFonts w:eastAsia="Arial"/>
                <w:i/>
                <w:sz w:val="14"/>
                <w:szCs w:val="14"/>
                <w:highlight w:val="none"/>
                <w:lang w:val="en-US"/>
              </w:rPr>
              <w:t>,</w:t>
            </w:r>
            <w:r>
              <w:rPr>
                <w:rFonts w:ascii="Cambria Math" w:hAnsi="Cambria Math" w:eastAsia="Arial" w:cs="Cambria Math"/>
                <w:i/>
                <w:sz w:val="14"/>
                <w:szCs w:val="14"/>
                <w:highlight w:val="none"/>
                <w:lang w:val="en-US"/>
              </w:rPr>
              <w:t>𝑦</w:t>
            </w:r>
          </w:p>
        </w:tc>
        <w:tc>
          <w:tcPr>
            <w:tcW w:w="425" w:type="dxa"/>
            <w:tcMar>
              <w:top w:w="80" w:type="dxa"/>
              <w:left w:w="100" w:type="dxa"/>
              <w:bottom w:w="20" w:type="dxa"/>
              <w:right w:w="100" w:type="dxa"/>
            </w:tcMar>
          </w:tcPr>
          <w:p w14:paraId="58536996">
            <w:pPr>
              <w:spacing w:before="0" w:after="0"/>
              <w:rPr>
                <w:rFonts w:eastAsia="Arial"/>
                <w:i/>
                <w:highlight w:val="none"/>
                <w:lang w:val="en-US"/>
              </w:rPr>
            </w:pPr>
            <w:r>
              <w:rPr>
                <w:rFonts w:eastAsia="Arial"/>
                <w:i/>
                <w:highlight w:val="none"/>
                <w:lang w:val="en-US"/>
              </w:rPr>
              <w:t>=</w:t>
            </w:r>
          </w:p>
        </w:tc>
        <w:tc>
          <w:tcPr>
            <w:tcW w:w="6521" w:type="dxa"/>
            <w:tcMar>
              <w:top w:w="80" w:type="dxa"/>
              <w:left w:w="100" w:type="dxa"/>
              <w:bottom w:w="20" w:type="dxa"/>
              <w:right w:w="100" w:type="dxa"/>
            </w:tcMar>
          </w:tcPr>
          <w:p w14:paraId="14E86E1A">
            <w:pPr>
              <w:spacing w:before="0" w:after="0"/>
              <w:rPr>
                <w:rFonts w:eastAsia="Arial"/>
                <w:i/>
                <w:highlight w:val="none"/>
                <w:lang w:val="en-US"/>
              </w:rPr>
            </w:pPr>
            <w:r>
              <w:rPr>
                <w:rFonts w:eastAsia="Arial"/>
                <w:i/>
                <w:highlight w:val="none"/>
                <w:lang w:val="en-US"/>
              </w:rPr>
              <w:t>Where applicable, baseline emissions from manure composted by the project activities, as per the procedures in AMS-III.D (tCO</w:t>
            </w:r>
            <w:r>
              <w:rPr>
                <w:rFonts w:eastAsia="Arial"/>
                <w:i/>
                <w:highlight w:val="none"/>
                <w:vertAlign w:val="subscript"/>
                <w:lang w:val="en-US"/>
              </w:rPr>
              <w:t>2</w:t>
            </w:r>
            <w:r>
              <w:rPr>
                <w:rFonts w:eastAsia="Arial"/>
                <w:i/>
                <w:highlight w:val="none"/>
                <w:lang w:val="en-US"/>
              </w:rPr>
              <w:t>e)</w:t>
            </w:r>
          </w:p>
        </w:tc>
      </w:tr>
      <w:tr w14:paraId="47288D4B">
        <w:trPr>
          <w:trHeight w:val="17" w:hRule="atLeast"/>
        </w:trPr>
        <w:tc>
          <w:tcPr>
            <w:tcW w:w="1418" w:type="dxa"/>
            <w:tcMar>
              <w:top w:w="80" w:type="dxa"/>
              <w:left w:w="100" w:type="dxa"/>
              <w:bottom w:w="20" w:type="dxa"/>
              <w:right w:w="100" w:type="dxa"/>
            </w:tcMar>
          </w:tcPr>
          <w:p w14:paraId="4C041C95">
            <w:pPr>
              <w:spacing w:before="0" w:after="0"/>
              <w:rPr>
                <w:rFonts w:eastAsia="Arial"/>
                <w:i/>
                <w:highlight w:val="none"/>
                <w:lang w:val="en-US"/>
              </w:rPr>
            </w:pPr>
            <w:r>
              <w:rPr>
                <w:rFonts w:ascii="Cambria Math" w:hAnsi="Cambria Math" w:eastAsia="Arial" w:cs="Cambria Math"/>
                <w:i/>
                <w:sz w:val="20"/>
                <w:szCs w:val="20"/>
                <w:highlight w:val="none"/>
                <w:lang w:val="en-US"/>
              </w:rPr>
              <w:t>𝐵𝐸</w:t>
            </w:r>
            <w:r>
              <w:rPr>
                <w:rFonts w:hint="default" w:ascii="Cambria Math" w:hAnsi="Cambria Math" w:eastAsia="Arial" w:cs="Cambria Math"/>
                <w:i/>
                <w:sz w:val="20"/>
                <w:szCs w:val="20"/>
                <w:highlight w:val="none"/>
                <w:lang w:val="es-ES"/>
              </w:rPr>
              <w:t xml:space="preserve">   </w:t>
            </w:r>
            <w:r>
              <w:rPr>
                <w:rFonts w:ascii="Cambria Math" w:hAnsi="Cambria Math" w:eastAsia="Arial" w:cs="Cambria Math"/>
                <w:i/>
                <w:sz w:val="14"/>
                <w:szCs w:val="14"/>
                <w:highlight w:val="none"/>
                <w:lang w:val="en-US"/>
              </w:rPr>
              <w:t>𝑤𝑤</w:t>
            </w:r>
            <w:r>
              <w:rPr>
                <w:rFonts w:eastAsia="Arial"/>
                <w:i/>
                <w:sz w:val="14"/>
                <w:szCs w:val="14"/>
                <w:highlight w:val="none"/>
                <w:lang w:val="en-US"/>
              </w:rPr>
              <w:t>,</w:t>
            </w:r>
            <w:r>
              <w:rPr>
                <w:rFonts w:ascii="Cambria Math" w:hAnsi="Cambria Math" w:eastAsia="Arial" w:cs="Cambria Math"/>
                <w:i/>
                <w:sz w:val="14"/>
                <w:szCs w:val="14"/>
                <w:highlight w:val="none"/>
                <w:lang w:val="en-US"/>
              </w:rPr>
              <w:t>𝑦</w:t>
            </w:r>
            <w:r>
              <w:rPr>
                <w:rFonts w:eastAsia="Arial"/>
                <w:i/>
                <w:sz w:val="14"/>
                <w:szCs w:val="14"/>
                <w:highlight w:val="none"/>
                <w:lang w:val="en-US"/>
              </w:rPr>
              <w:t xml:space="preserve"> </w:t>
            </w:r>
          </w:p>
        </w:tc>
        <w:tc>
          <w:tcPr>
            <w:tcW w:w="425" w:type="dxa"/>
            <w:tcMar>
              <w:top w:w="80" w:type="dxa"/>
              <w:left w:w="100" w:type="dxa"/>
              <w:bottom w:w="20" w:type="dxa"/>
              <w:right w:w="100" w:type="dxa"/>
            </w:tcMar>
          </w:tcPr>
          <w:p w14:paraId="78FA7EB1">
            <w:pPr>
              <w:spacing w:before="0" w:after="0"/>
              <w:rPr>
                <w:rFonts w:eastAsia="Arial"/>
                <w:i/>
                <w:highlight w:val="none"/>
                <w:lang w:val="en-US"/>
              </w:rPr>
            </w:pPr>
            <w:r>
              <w:rPr>
                <w:rFonts w:eastAsia="Arial"/>
                <w:i/>
                <w:highlight w:val="none"/>
                <w:lang w:val="en-US"/>
              </w:rPr>
              <w:t>=</w:t>
            </w:r>
          </w:p>
        </w:tc>
        <w:tc>
          <w:tcPr>
            <w:tcW w:w="6521" w:type="dxa"/>
            <w:tcMar>
              <w:top w:w="80" w:type="dxa"/>
              <w:left w:w="100" w:type="dxa"/>
              <w:bottom w:w="20" w:type="dxa"/>
              <w:right w:w="100" w:type="dxa"/>
            </w:tcMar>
          </w:tcPr>
          <w:p w14:paraId="62034AD8">
            <w:pPr>
              <w:spacing w:before="0" w:after="0"/>
              <w:rPr>
                <w:rFonts w:eastAsia="Arial"/>
                <w:i/>
                <w:highlight w:val="none"/>
                <w:lang w:val="en-US"/>
              </w:rPr>
            </w:pPr>
            <w:r>
              <w:rPr>
                <w:rFonts w:eastAsia="Arial"/>
                <w:i/>
                <w:highlight w:val="none"/>
                <w:lang w:val="en-US"/>
              </w:rPr>
              <w:t>Where applicable, baseline emissions from the wastewater co-composted, calculated as per the procedures in AMS-III.H (tCO</w:t>
            </w:r>
            <w:r>
              <w:rPr>
                <w:rFonts w:eastAsia="Arial"/>
                <w:i/>
                <w:highlight w:val="none"/>
                <w:vertAlign w:val="subscript"/>
                <w:lang w:val="en-US"/>
              </w:rPr>
              <w:t>2</w:t>
            </w:r>
            <w:r>
              <w:rPr>
                <w:rFonts w:eastAsia="Arial"/>
                <w:i/>
                <w:highlight w:val="none"/>
                <w:lang w:val="en-US"/>
              </w:rPr>
              <w:t>e)</w:t>
            </w:r>
          </w:p>
        </w:tc>
      </w:tr>
      <w:tr w14:paraId="35FBBC3B">
        <w:trPr>
          <w:trHeight w:val="90" w:hRule="atLeast"/>
        </w:trPr>
        <w:tc>
          <w:tcPr>
            <w:tcW w:w="1418" w:type="dxa"/>
            <w:tcMar>
              <w:top w:w="80" w:type="dxa"/>
              <w:left w:w="100" w:type="dxa"/>
              <w:bottom w:w="20" w:type="dxa"/>
              <w:right w:w="100" w:type="dxa"/>
            </w:tcMar>
          </w:tcPr>
          <w:p w14:paraId="2AE0261B">
            <w:pPr>
              <w:spacing w:before="0" w:after="0"/>
              <w:rPr>
                <w:rFonts w:eastAsia="Arial"/>
                <w:i/>
                <w:sz w:val="14"/>
                <w:szCs w:val="14"/>
                <w:highlight w:val="none"/>
                <w:lang w:val="en-US"/>
              </w:rPr>
            </w:pPr>
            <w:r>
              <w:rPr>
                <w:rFonts w:ascii="Cambria Math" w:hAnsi="Cambria Math" w:eastAsia="Arial" w:cs="Cambria Math"/>
                <w:i/>
                <w:sz w:val="20"/>
                <w:szCs w:val="20"/>
                <w:highlight w:val="none"/>
                <w:lang w:val="en-US"/>
              </w:rPr>
              <w:t>𝐺𝑊𝑃</w:t>
            </w:r>
            <w:r>
              <w:rPr>
                <w:rFonts w:hint="default" w:ascii="Cambria Math" w:hAnsi="Cambria Math" w:eastAsia="Arial" w:cs="Cambria Math"/>
                <w:i/>
                <w:sz w:val="20"/>
                <w:szCs w:val="20"/>
                <w:highlight w:val="none"/>
                <w:lang w:val="es-ES"/>
              </w:rPr>
              <w:t xml:space="preserve">  </w:t>
            </w:r>
            <w:r>
              <w:rPr>
                <w:rFonts w:eastAsia="Arial"/>
                <w:i/>
                <w:sz w:val="14"/>
                <w:szCs w:val="14"/>
                <w:highlight w:val="none"/>
                <w:lang w:val="en-US"/>
              </w:rPr>
              <w:t xml:space="preserve">CH4 </w:t>
            </w:r>
          </w:p>
        </w:tc>
        <w:tc>
          <w:tcPr>
            <w:tcW w:w="425" w:type="dxa"/>
            <w:tcMar>
              <w:top w:w="80" w:type="dxa"/>
              <w:left w:w="100" w:type="dxa"/>
              <w:bottom w:w="20" w:type="dxa"/>
              <w:right w:w="100" w:type="dxa"/>
            </w:tcMar>
          </w:tcPr>
          <w:p w14:paraId="31250AAD">
            <w:pPr>
              <w:spacing w:before="0" w:after="0"/>
              <w:rPr>
                <w:rFonts w:eastAsia="Arial"/>
                <w:i/>
                <w:highlight w:val="none"/>
                <w:lang w:val="en-US"/>
              </w:rPr>
            </w:pPr>
            <w:r>
              <w:rPr>
                <w:rFonts w:eastAsia="Arial"/>
                <w:i/>
                <w:highlight w:val="none"/>
                <w:lang w:val="en-US"/>
              </w:rPr>
              <w:t>=</w:t>
            </w:r>
          </w:p>
        </w:tc>
        <w:tc>
          <w:tcPr>
            <w:tcW w:w="6521" w:type="dxa"/>
            <w:tcMar>
              <w:top w:w="80" w:type="dxa"/>
              <w:left w:w="100" w:type="dxa"/>
              <w:bottom w:w="20" w:type="dxa"/>
              <w:right w:w="100" w:type="dxa"/>
            </w:tcMar>
          </w:tcPr>
          <w:p w14:paraId="399296E1">
            <w:pPr>
              <w:spacing w:before="0" w:after="0"/>
              <w:rPr>
                <w:rFonts w:eastAsia="Arial"/>
                <w:i/>
                <w:highlight w:val="none"/>
                <w:lang w:val="en-US"/>
              </w:rPr>
            </w:pPr>
            <w:r>
              <w:rPr>
                <w:rFonts w:eastAsia="Arial"/>
                <w:i/>
                <w:highlight w:val="none"/>
                <w:lang w:val="en-US"/>
              </w:rPr>
              <w:t>Global Warming Potential for CH</w:t>
            </w:r>
            <w:r>
              <w:rPr>
                <w:rFonts w:eastAsia="Arial"/>
                <w:i/>
                <w:highlight w:val="none"/>
                <w:vertAlign w:val="subscript"/>
                <w:lang w:val="en-US"/>
              </w:rPr>
              <w:t>4</w:t>
            </w:r>
            <w:r>
              <w:rPr>
                <w:rFonts w:eastAsia="Arial"/>
                <w:i/>
                <w:highlight w:val="none"/>
                <w:lang w:val="en-US"/>
              </w:rPr>
              <w:t xml:space="preserve"> applicable to the crediting period (t CO</w:t>
            </w:r>
            <w:r>
              <w:rPr>
                <w:rFonts w:eastAsia="Arial"/>
                <w:i/>
                <w:highlight w:val="none"/>
                <w:vertAlign w:val="subscript"/>
                <w:lang w:val="en-US"/>
              </w:rPr>
              <w:t>2</w:t>
            </w:r>
            <w:r>
              <w:rPr>
                <w:rFonts w:eastAsia="Arial"/>
                <w:i/>
                <w:highlight w:val="none"/>
                <w:lang w:val="en-US"/>
              </w:rPr>
              <w:t>e/t CH</w:t>
            </w:r>
            <w:r>
              <w:rPr>
                <w:rFonts w:eastAsia="Arial"/>
                <w:i/>
                <w:highlight w:val="none"/>
                <w:vertAlign w:val="subscript"/>
                <w:lang w:val="en-US"/>
              </w:rPr>
              <w:t>4</w:t>
            </w:r>
            <w:r>
              <w:rPr>
                <w:rFonts w:eastAsia="Arial"/>
                <w:i/>
                <w:highlight w:val="none"/>
                <w:lang w:val="en-US"/>
              </w:rPr>
              <w:t>)</w:t>
            </w:r>
          </w:p>
        </w:tc>
      </w:tr>
    </w:tbl>
    <w:p w14:paraId="2C6C7D98">
      <w:pPr>
        <w:spacing w:before="0" w:after="0"/>
        <w:rPr>
          <w:rFonts w:eastAsia="Arial"/>
          <w:color w:val="000000" w:themeColor="text1"/>
          <w:highlight w:val="none"/>
          <w:lang w:val="en-US"/>
          <w14:textFill>
            <w14:solidFill>
              <w14:schemeClr w14:val="tx1"/>
            </w14:solidFill>
          </w14:textFill>
        </w:rPr>
      </w:pPr>
    </w:p>
    <w:p w14:paraId="4148A6BA">
      <w:pPr>
        <w:spacing w:before="0" w:after="0"/>
        <w:rPr>
          <w:rFonts w:eastAsia="Arial"/>
          <w:color w:val="000000" w:themeColor="text1"/>
          <w:highlight w:val="none"/>
          <w:lang w:val="en-US"/>
          <w14:textFill>
            <w14:solidFill>
              <w14:schemeClr w14:val="tx1"/>
            </w14:solidFill>
          </w14:textFill>
        </w:rPr>
      </w:pPr>
      <w:r>
        <w:rPr>
          <w:rFonts w:eastAsia="Arial"/>
          <w:color w:val="000000" w:themeColor="text1"/>
          <w:highlight w:val="none"/>
          <w:lang w:val="en-US"/>
          <w14:textFill>
            <w14:solidFill>
              <w14:schemeClr w14:val="tx1"/>
            </w14:solidFill>
          </w14:textFill>
        </w:rPr>
        <w:t xml:space="preserve">The project does not involve co-composting along with waste water. </w:t>
      </w:r>
      <w:r>
        <w:rPr>
          <w:rFonts w:hint="default" w:eastAsia="Arial"/>
          <w:color w:val="000000" w:themeColor="text1"/>
          <w:highlight w:val="none"/>
          <w:lang w:val="es-ES"/>
          <w14:textFill>
            <w14:solidFill>
              <w14:schemeClr w14:val="tx1"/>
            </w14:solidFill>
          </w14:textFill>
        </w:rPr>
        <w:t>T</w:t>
      </w:r>
      <w:r>
        <w:rPr>
          <w:rFonts w:eastAsia="Arial"/>
          <w:color w:val="000000" w:themeColor="text1"/>
          <w:highlight w:val="none"/>
          <w:lang w:val="en-US"/>
          <w14:textFill>
            <w14:solidFill>
              <w14:schemeClr w14:val="tx1"/>
            </w14:solidFill>
          </w14:textFill>
        </w:rPr>
        <w:t>he project does not involve composting of manure. Also, the existing landfill does not contain a methane recovery system: in order to comply with the prevailing regulations, it’s not required to capture or combust methane for the project activity. So, final equation applied is:</w:t>
      </w:r>
    </w:p>
    <w:p w14:paraId="2BBEA182">
      <w:pPr>
        <w:spacing w:after="0"/>
        <w:ind w:firstLine="708"/>
        <w:rPr>
          <w:rFonts w:eastAsia="Arial"/>
          <w:b/>
          <w:bCs/>
          <w:color w:val="000000" w:themeColor="text1"/>
          <w:highlight w:val="none"/>
          <w:lang w:val="en-US"/>
          <w14:textFill>
            <w14:solidFill>
              <w14:schemeClr w14:val="tx1"/>
            </w14:solidFill>
          </w14:textFill>
        </w:rPr>
      </w:pPr>
      <w:r>
        <w:rPr>
          <w:rFonts w:ascii="Cambria Math" w:hAnsi="Cambria Math" w:eastAsia="Arial" w:cs="Cambria Math"/>
          <w:color w:val="000000" w:themeColor="text1"/>
          <w:highlight w:val="none"/>
          <w:lang w:val="en-US"/>
          <w14:textFill>
            <w14:solidFill>
              <w14:schemeClr w14:val="tx1"/>
            </w14:solidFill>
          </w14:textFill>
        </w:rPr>
        <w:t>𝐵𝐸𝑦</w:t>
      </w:r>
      <w:r>
        <w:rPr>
          <w:rFonts w:eastAsia="Arial"/>
          <w:color w:val="000000" w:themeColor="text1"/>
          <w:highlight w:val="none"/>
          <w:lang w:val="en-US"/>
          <w14:textFill>
            <w14:solidFill>
              <w14:schemeClr w14:val="tx1"/>
            </w14:solidFill>
          </w14:textFill>
        </w:rPr>
        <w:t xml:space="preserve"> = </w:t>
      </w:r>
      <w:r>
        <w:rPr>
          <w:rFonts w:ascii="Cambria Math" w:hAnsi="Cambria Math" w:eastAsia="Arial" w:cs="Cambria Math"/>
          <w:color w:val="000000" w:themeColor="text1"/>
          <w:highlight w:val="none"/>
          <w:lang w:val="en-US"/>
          <w14:textFill>
            <w14:solidFill>
              <w14:schemeClr w14:val="tx1"/>
            </w14:solidFill>
          </w14:textFill>
        </w:rPr>
        <w:t xml:space="preserve">𝐵𝐸 </w:t>
      </w:r>
      <w:r>
        <w:rPr>
          <w:rFonts w:eastAsia="Arial"/>
          <w:color w:val="000000" w:themeColor="text1"/>
          <w:highlight w:val="none"/>
          <w:vertAlign w:val="subscript"/>
          <w:lang w:val="en-US"/>
          <w14:textFill>
            <w14:solidFill>
              <w14:schemeClr w14:val="tx1"/>
            </w14:solidFill>
          </w14:textFill>
        </w:rPr>
        <w:t>CH4,</w:t>
      </w:r>
      <w:r>
        <w:rPr>
          <w:rFonts w:ascii="Cambria Math" w:hAnsi="Cambria Math" w:eastAsia="Arial" w:cs="Cambria Math"/>
          <w:color w:val="000000" w:themeColor="text1"/>
          <w:highlight w:val="none"/>
          <w:vertAlign w:val="subscript"/>
          <w:lang w:val="en-US"/>
          <w14:textFill>
            <w14:solidFill>
              <w14:schemeClr w14:val="tx1"/>
            </w14:solidFill>
          </w14:textFill>
        </w:rPr>
        <w:t>𝑆𝑊𝐷𝑆</w:t>
      </w:r>
      <w:r>
        <w:rPr>
          <w:rFonts w:eastAsia="Arial"/>
          <w:color w:val="000000" w:themeColor="text1"/>
          <w:highlight w:val="none"/>
          <w:vertAlign w:val="subscript"/>
          <w:lang w:val="en-US"/>
          <w14:textFill>
            <w14:solidFill>
              <w14:schemeClr w14:val="tx1"/>
            </w14:solidFill>
          </w14:textFill>
        </w:rPr>
        <w:t>,</w:t>
      </w:r>
      <w:r>
        <w:rPr>
          <w:rFonts w:ascii="Cambria Math" w:hAnsi="Cambria Math" w:eastAsia="Arial" w:cs="Cambria Math"/>
          <w:color w:val="000000" w:themeColor="text1"/>
          <w:highlight w:val="none"/>
          <w:vertAlign w:val="subscript"/>
          <w:lang w:val="en-US"/>
          <w14:textFill>
            <w14:solidFill>
              <w14:schemeClr w14:val="tx1"/>
            </w14:solidFill>
          </w14:textFill>
        </w:rPr>
        <w:t>𝑦</w:t>
      </w:r>
    </w:p>
    <w:p w14:paraId="66D9D481">
      <w:pPr>
        <w:spacing w:after="0"/>
        <w:rPr>
          <w:rFonts w:eastAsia="Arial"/>
          <w:b w:val="0"/>
          <w:bCs w:val="0"/>
          <w:color w:val="000000" w:themeColor="text1"/>
          <w:highlight w:val="none"/>
          <w:u w:val="single"/>
          <w:lang w:val="en-US"/>
          <w14:textFill>
            <w14:solidFill>
              <w14:schemeClr w14:val="tx1"/>
            </w14:solidFill>
          </w14:textFill>
        </w:rPr>
      </w:pPr>
      <w:r>
        <w:rPr>
          <w:rFonts w:eastAsia="Arial"/>
          <w:b w:val="0"/>
          <w:bCs w:val="0"/>
          <w:color w:val="000000" w:themeColor="text1"/>
          <w:highlight w:val="none"/>
          <w:u w:val="single"/>
          <w:lang w:val="en-US"/>
          <w14:textFill>
            <w14:solidFill>
              <w14:schemeClr w14:val="tx1"/>
            </w14:solidFill>
          </w14:textFill>
        </w:rPr>
        <w:t xml:space="preserve">Yearly methane generation potential from solid waste disposal site </w:t>
      </w:r>
      <w:r>
        <w:rPr>
          <w:b w:val="0"/>
          <w:bCs w:val="0"/>
          <w:highlight w:val="none"/>
          <w:u w:val="single"/>
          <w:lang w:val="en-US"/>
        </w:rPr>
        <w:t>(</w:t>
      </w:r>
      <w:r>
        <w:rPr>
          <w:rFonts w:ascii="Cambria Math" w:hAnsi="Cambria Math" w:eastAsia="Arial" w:cs="Cambria Math"/>
          <w:b w:val="0"/>
          <w:bCs w:val="0"/>
          <w:color w:val="000000" w:themeColor="text1"/>
          <w:highlight w:val="none"/>
          <w:u w:val="single"/>
          <w:lang w:val="en-US"/>
          <w14:textFill>
            <w14:solidFill>
              <w14:schemeClr w14:val="tx1"/>
            </w14:solidFill>
          </w14:textFill>
        </w:rPr>
        <w:t xml:space="preserve">𝐵𝐸 </w:t>
      </w:r>
      <w:r>
        <w:rPr>
          <w:rFonts w:eastAsia="Arial"/>
          <w:b w:val="0"/>
          <w:bCs w:val="0"/>
          <w:color w:val="000000" w:themeColor="text1"/>
          <w:highlight w:val="none"/>
          <w:u w:val="single"/>
          <w:vertAlign w:val="subscript"/>
          <w:lang w:val="en-US"/>
          <w14:textFill>
            <w14:solidFill>
              <w14:schemeClr w14:val="tx1"/>
            </w14:solidFill>
          </w14:textFill>
        </w:rPr>
        <w:t>CH4,</w:t>
      </w:r>
      <w:r>
        <w:rPr>
          <w:rFonts w:ascii="Cambria Math" w:hAnsi="Cambria Math" w:eastAsia="Arial" w:cs="Cambria Math"/>
          <w:b w:val="0"/>
          <w:bCs w:val="0"/>
          <w:color w:val="000000" w:themeColor="text1"/>
          <w:highlight w:val="none"/>
          <w:u w:val="single"/>
          <w:vertAlign w:val="subscript"/>
          <w:lang w:val="en-US"/>
          <w14:textFill>
            <w14:solidFill>
              <w14:schemeClr w14:val="tx1"/>
            </w14:solidFill>
          </w14:textFill>
        </w:rPr>
        <w:t>𝑆𝑊𝐷𝑆</w:t>
      </w:r>
      <w:r>
        <w:rPr>
          <w:rFonts w:eastAsia="Arial"/>
          <w:b w:val="0"/>
          <w:bCs w:val="0"/>
          <w:color w:val="000000" w:themeColor="text1"/>
          <w:highlight w:val="none"/>
          <w:u w:val="single"/>
          <w:vertAlign w:val="subscript"/>
          <w:lang w:val="en-US"/>
          <w14:textFill>
            <w14:solidFill>
              <w14:schemeClr w14:val="tx1"/>
            </w14:solidFill>
          </w14:textFill>
        </w:rPr>
        <w:t>,</w:t>
      </w:r>
      <w:r>
        <w:rPr>
          <w:rFonts w:ascii="Cambria Math" w:hAnsi="Cambria Math" w:eastAsia="Arial" w:cs="Cambria Math"/>
          <w:b w:val="0"/>
          <w:bCs w:val="0"/>
          <w:color w:val="000000" w:themeColor="text1"/>
          <w:highlight w:val="none"/>
          <w:u w:val="single"/>
          <w:vertAlign w:val="subscript"/>
          <w:lang w:val="en-US"/>
          <w14:textFill>
            <w14:solidFill>
              <w14:schemeClr w14:val="tx1"/>
            </w14:solidFill>
          </w14:textFill>
        </w:rPr>
        <w:t>𝑦</w:t>
      </w:r>
      <w:r>
        <w:rPr>
          <w:b w:val="0"/>
          <w:bCs w:val="0"/>
          <w:highlight w:val="none"/>
          <w:u w:val="single"/>
          <w:lang w:val="en-US"/>
        </w:rPr>
        <w:t>)</w:t>
      </w:r>
    </w:p>
    <w:p w14:paraId="215364C3">
      <w:pPr>
        <w:spacing w:after="0"/>
        <w:rPr>
          <w:rFonts w:eastAsia="Arial"/>
          <w:color w:val="000000" w:themeColor="text1"/>
          <w:highlight w:val="none"/>
          <w:lang w:val="en-US"/>
          <w14:textFill>
            <w14:solidFill>
              <w14:schemeClr w14:val="tx1"/>
            </w14:solidFill>
          </w14:textFill>
        </w:rPr>
      </w:pPr>
      <w:r>
        <w:rPr>
          <w:highlight w:val="none"/>
          <w:lang w:val="en-US"/>
        </w:rPr>
        <w:t>The Yearly Methane Generation Potential for the solid waste (</w:t>
      </w:r>
      <w:r>
        <w:rPr>
          <w:rFonts w:ascii="Cambria Math" w:hAnsi="Cambria Math" w:eastAsia="Arial" w:cs="Cambria Math"/>
          <w:color w:val="000000" w:themeColor="text1"/>
          <w:highlight w:val="none"/>
          <w:lang w:val="en-US"/>
          <w14:textFill>
            <w14:solidFill>
              <w14:schemeClr w14:val="tx1"/>
            </w14:solidFill>
          </w14:textFill>
        </w:rPr>
        <w:t xml:space="preserve">𝐵𝐸 </w:t>
      </w:r>
      <w:r>
        <w:rPr>
          <w:rFonts w:eastAsia="Arial"/>
          <w:color w:val="000000" w:themeColor="text1"/>
          <w:highlight w:val="none"/>
          <w:vertAlign w:val="subscript"/>
          <w:lang w:val="en-US"/>
          <w14:textFill>
            <w14:solidFill>
              <w14:schemeClr w14:val="tx1"/>
            </w14:solidFill>
          </w14:textFill>
        </w:rPr>
        <w:t>CH4,</w:t>
      </w:r>
      <w:r>
        <w:rPr>
          <w:rFonts w:ascii="Cambria Math" w:hAnsi="Cambria Math" w:eastAsia="Arial" w:cs="Cambria Math"/>
          <w:color w:val="000000" w:themeColor="text1"/>
          <w:highlight w:val="none"/>
          <w:vertAlign w:val="subscript"/>
          <w:lang w:val="en-US"/>
          <w14:textFill>
            <w14:solidFill>
              <w14:schemeClr w14:val="tx1"/>
            </w14:solidFill>
          </w14:textFill>
        </w:rPr>
        <w:t>𝑆𝑊𝐷𝑆</w:t>
      </w:r>
      <w:r>
        <w:rPr>
          <w:rFonts w:eastAsia="Arial"/>
          <w:color w:val="000000" w:themeColor="text1"/>
          <w:highlight w:val="none"/>
          <w:vertAlign w:val="subscript"/>
          <w:lang w:val="en-US"/>
          <w14:textFill>
            <w14:solidFill>
              <w14:schemeClr w14:val="tx1"/>
            </w14:solidFill>
          </w14:textFill>
        </w:rPr>
        <w:t>,</w:t>
      </w:r>
      <w:r>
        <w:rPr>
          <w:rFonts w:ascii="Cambria Math" w:hAnsi="Cambria Math" w:eastAsia="Arial" w:cs="Cambria Math"/>
          <w:color w:val="000000" w:themeColor="text1"/>
          <w:highlight w:val="none"/>
          <w:vertAlign w:val="subscript"/>
          <w:lang w:val="en-US"/>
          <w14:textFill>
            <w14:solidFill>
              <w14:schemeClr w14:val="tx1"/>
            </w14:solidFill>
          </w14:textFill>
        </w:rPr>
        <w:t>𝑦</w:t>
      </w:r>
      <w:r>
        <w:rPr>
          <w:highlight w:val="none"/>
          <w:lang w:val="en-US"/>
        </w:rPr>
        <w:t>) is calculated using the first order decay model as described in the latest version of the methodological tool “</w:t>
      </w:r>
      <w:r>
        <w:rPr>
          <w:highlight w:val="none"/>
        </w:rPr>
        <w:fldChar w:fldCharType="begin"/>
      </w:r>
      <w:r>
        <w:rPr>
          <w:highlight w:val="none"/>
        </w:rPr>
        <w:instrText xml:space="preserve"> HYPERLINK "https://cdm.unfccc.int/methodologies/PAmethodologies/tools/am-tool-04-v8.1.pdf" </w:instrText>
      </w:r>
      <w:r>
        <w:rPr>
          <w:highlight w:val="none"/>
        </w:rPr>
        <w:fldChar w:fldCharType="separate"/>
      </w:r>
      <w:r>
        <w:rPr>
          <w:rStyle w:val="20"/>
          <w:highlight w:val="none"/>
          <w:lang w:val="en-US"/>
        </w:rPr>
        <w:t>Emissions from solid waste disposal sites</w:t>
      </w:r>
      <w:r>
        <w:rPr>
          <w:rStyle w:val="20"/>
          <w:highlight w:val="none"/>
          <w:lang w:val="en-US"/>
        </w:rPr>
        <w:fldChar w:fldCharType="end"/>
      </w:r>
      <w:r>
        <w:rPr>
          <w:highlight w:val="none"/>
          <w:lang w:val="en-US"/>
        </w:rPr>
        <w:t>” (version 08.1).</w:t>
      </w:r>
    </w:p>
    <w:p w14:paraId="384BE213">
      <w:pPr>
        <w:spacing w:after="0"/>
        <w:rPr>
          <w:rFonts w:eastAsia="Arial"/>
          <w:color w:val="000000" w:themeColor="text1"/>
          <w:highlight w:val="none"/>
          <w:lang w:val="en-US"/>
          <w14:textFill>
            <w14:solidFill>
              <w14:schemeClr w14:val="tx1"/>
            </w14:solidFill>
          </w14:textFill>
        </w:rPr>
      </w:pPr>
      <w:r>
        <w:rPr>
          <w:rFonts w:eastAsia="Arial"/>
          <w:color w:val="000000" w:themeColor="text1"/>
          <w:highlight w:val="none"/>
          <w:lang w:val="en-US"/>
          <w14:textFill>
            <w14:solidFill>
              <w14:schemeClr w14:val="tx1"/>
            </w14:solidFill>
          </w14:textFill>
        </w:rPr>
        <w:t xml:space="preserve">Since the methane generation from municipal solid waste is treated with composting technology, the tool is applicable for the project under ‘Applicability B’ of the project activity. </w:t>
      </w:r>
      <w:r>
        <w:rPr>
          <w:rFonts w:eastAsia="Arial"/>
          <w:highlight w:val="none"/>
          <w:lang w:val="en-US"/>
        </w:rPr>
        <w:t>As per para 17, the baseline methane emission from solid waste disposal site will be calculated as below:</w:t>
      </w:r>
    </w:p>
    <w:p w14:paraId="2A211DB4">
      <w:pPr>
        <w:spacing w:before="0" w:after="0"/>
        <w:rPr>
          <w:rFonts w:eastAsia="Arial"/>
          <w:highlight w:val="none"/>
          <w:lang w:val="en-US"/>
        </w:rPr>
      </w:pPr>
      <w:r>
        <w:rPr>
          <w:highlight w:val="none"/>
          <w:lang w:val="en-US"/>
        </w:rPr>
        <mc:AlternateContent>
          <mc:Choice Requires="wps">
            <w:drawing>
              <wp:inline distT="0" distB="0" distL="0" distR="0">
                <wp:extent cx="5257800" cy="1093470"/>
                <wp:effectExtent l="0" t="0" r="0" b="0"/>
                <wp:docPr id="2117950695" name="CuadroTexto 7"/>
                <wp:cNvGraphicFramePr/>
                <a:graphic xmlns:a="http://schemas.openxmlformats.org/drawingml/2006/main">
                  <a:graphicData uri="http://schemas.microsoft.com/office/word/2010/wordprocessingShape">
                    <wps:wsp>
                      <wps:cNvSpPr txBox="1"/>
                      <wps:spPr>
                        <a:xfrm>
                          <a:off x="0" y="0"/>
                          <a:ext cx="5257800" cy="10934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4D7BC95">
                            <w:pPr>
                              <w:jc w:val="center"/>
                              <w:rPr>
                                <w:rFonts w:ascii="Cambria Math" w:hAnsi="+mn-cs" w:cstheme="minorBidi"/>
                                <w:i/>
                                <w:iCs/>
                                <w:color w:val="000000" w:themeColor="text1"/>
                                <w14:textFill>
                                  <w14:solidFill>
                                    <w14:schemeClr w14:val="tx1"/>
                                  </w14:solidFill>
                                </w14:textFill>
                              </w:rPr>
                            </w:pPr>
                            <m:oMathPara>
                              <m:oMath>
                                <m:sSub>
                                  <m:sSubPr>
                                    <m:ctrlPr>
                                      <w:rPr>
                                        <w:rFonts w:ascii="Cambria Math" w:hAnsi="Cambria Math" w:eastAsiaTheme="minorEastAsia" w:cstheme="minorBidi"/>
                                        <w:i/>
                                        <w:iCs/>
                                        <w:color w:val="000000" w:themeColor="text1"/>
                                        <w14:textFill>
                                          <w14:solidFill>
                                            <w14:schemeClr w14:val="tx1"/>
                                          </w14:solidFill>
                                        </w14:textFill>
                                      </w:rPr>
                                    </m:ctrlPr>
                                  </m:sSubPr>
                                  <m:e>
                                    <m:r>
                                      <m:rPr/>
                                      <w:rPr>
                                        <w:rFonts w:ascii="Cambria Math" w:hAnsi="Cambria Math" w:cstheme="minorBidi"/>
                                        <w:color w:val="000000" w:themeColor="text1"/>
                                        <w14:textFill>
                                          <w14:solidFill>
                                            <w14:schemeClr w14:val="tx1"/>
                                          </w14:solidFill>
                                        </w14:textFill>
                                      </w:rPr>
                                      <m:t>BE</m:t>
                                    </m:r>
                                    <m:ctrlPr>
                                      <w:rPr>
                                        <w:rFonts w:ascii="Cambria Math" w:hAnsi="Cambria Math" w:eastAsiaTheme="minorEastAsia" w:cstheme="minorBidi"/>
                                        <w:i/>
                                        <w:iCs/>
                                        <w:color w:val="000000" w:themeColor="text1"/>
                                        <w14:textFill>
                                          <w14:solidFill>
                                            <w14:schemeClr w14:val="tx1"/>
                                          </w14:solidFill>
                                        </w14:textFill>
                                      </w:rPr>
                                    </m:ctrlPr>
                                  </m:e>
                                  <m:sub>
                                    <m:r>
                                      <m:rPr/>
                                      <w:rPr>
                                        <w:rFonts w:ascii="Cambria Math" w:hAnsi="Cambria Math" w:cstheme="minorBidi"/>
                                        <w:color w:val="000000" w:themeColor="text1"/>
                                        <w14:textFill>
                                          <w14:solidFill>
                                            <w14:schemeClr w14:val="tx1"/>
                                          </w14:solidFill>
                                        </w14:textFill>
                                      </w:rPr>
                                      <m:t>CH4,SWDS,y</m:t>
                                    </m:r>
                                    <m:ctrlPr>
                                      <w:rPr>
                                        <w:rFonts w:ascii="Cambria Math" w:hAnsi="Cambria Math" w:eastAsiaTheme="minorEastAsia"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φ</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d>
                                  <m:dPr>
                                    <m:ctrlPr>
                                      <w:rPr>
                                        <w:rFonts w:ascii="Cambria Math" w:hAnsi="Cambria Math" w:eastAsia="Cambria Math" w:cstheme="minorBidi"/>
                                        <w:i/>
                                        <w:iCs/>
                                        <w:color w:val="000000" w:themeColor="text1"/>
                                        <w14:textFill>
                                          <w14:solidFill>
                                            <w14:schemeClr w14:val="tx1"/>
                                          </w14:solidFill>
                                        </w14:textFill>
                                      </w:rPr>
                                    </m:ctrlPr>
                                  </m:dPr>
                                  <m:e>
                                    <m:r>
                                      <m:rPr/>
                                      <w:rPr>
                                        <w:rFonts w:ascii="Cambria Math" w:hAnsi="Cambria Math" w:eastAsia="Cambria Math" w:cstheme="minorBidi"/>
                                        <w:color w:val="000000" w:themeColor="text1"/>
                                        <w14:textFill>
                                          <w14:solidFill>
                                            <w14:schemeClr w14:val="tx1"/>
                                          </w14:solidFill>
                                        </w14:textFill>
                                      </w:rPr>
                                      <m:t>1−</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f</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Sub>
                                    <m:ctrlPr>
                                      <w:rPr>
                                        <w:rFonts w:ascii="Cambria Math" w:hAnsi="Cambria Math" w:eastAsia="Cambria Math" w:cstheme="minorBidi"/>
                                        <w:i/>
                                        <w:iCs/>
                                        <w:color w:val="000000" w:themeColor="text1"/>
                                        <w14:textFill>
                                          <w14:solidFill>
                                            <w14:schemeClr w14:val="tx1"/>
                                          </w14:solidFill>
                                        </w14:textFill>
                                      </w:rPr>
                                    </m:ctrlPr>
                                  </m:e>
                                </m:d>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GWP</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CH4</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d>
                                  <m:dPr>
                                    <m:ctrlPr>
                                      <w:rPr>
                                        <w:rFonts w:ascii="Cambria Math" w:hAnsi="Cambria Math" w:eastAsia="Cambria Math" w:cstheme="minorBidi"/>
                                        <w:i/>
                                        <w:iCs/>
                                        <w:color w:val="000000" w:themeColor="text1"/>
                                        <w14:textFill>
                                          <w14:solidFill>
                                            <w14:schemeClr w14:val="tx1"/>
                                          </w14:solidFill>
                                        </w14:textFill>
                                      </w:rPr>
                                    </m:ctrlPr>
                                  </m:dPr>
                                  <m:e>
                                    <m:r>
                                      <m:rPr/>
                                      <w:rPr>
                                        <w:rFonts w:ascii="Cambria Math" w:hAnsi="Cambria Math" w:eastAsia="Cambria Math" w:cstheme="minorBidi"/>
                                        <w:color w:val="000000" w:themeColor="text1"/>
                                        <w14:textFill>
                                          <w14:solidFill>
                                            <w14:schemeClr w14:val="tx1"/>
                                          </w14:solidFill>
                                        </w14:textFill>
                                      </w:rPr>
                                      <m:t>1−OX</m:t>
                                    </m:r>
                                    <m:ctrlPr>
                                      <w:rPr>
                                        <w:rFonts w:ascii="Cambria Math" w:hAnsi="Cambria Math" w:eastAsia="Cambria Math" w:cstheme="minorBidi"/>
                                        <w:i/>
                                        <w:iCs/>
                                        <w:color w:val="000000" w:themeColor="text1"/>
                                        <w14:textFill>
                                          <w14:solidFill>
                                            <w14:schemeClr w14:val="tx1"/>
                                          </w14:solidFill>
                                        </w14:textFill>
                                      </w:rPr>
                                    </m:ctrlPr>
                                  </m:e>
                                </m:d>
                                <m:r>
                                  <m:rPr/>
                                  <w:rPr>
                                    <w:rFonts w:ascii="Cambria Math" w:hAnsi="Cambria Math" w:eastAsia="Cambria Math" w:cstheme="minorBidi"/>
                                    <w:color w:val="000000" w:themeColor="text1"/>
                                    <w14:textFill>
                                      <w14:solidFill>
                                        <w14:schemeClr w14:val="tx1"/>
                                      </w14:solidFill>
                                    </w14:textFill>
                                  </w:rPr>
                                  <m:t>∗</m:t>
                                </m:r>
                                <m:f>
                                  <m:fPr>
                                    <m:ctrlPr>
                                      <w:rPr>
                                        <w:rFonts w:ascii="Cambria Math" w:hAnsi="Cambria Math" w:eastAsia="Cambria Math" w:cstheme="minorBidi"/>
                                        <w:i/>
                                        <w:iCs/>
                                        <w:color w:val="000000" w:themeColor="text1"/>
                                        <w14:textFill>
                                          <w14:solidFill>
                                            <w14:schemeClr w14:val="tx1"/>
                                          </w14:solidFill>
                                        </w14:textFill>
                                      </w:rPr>
                                    </m:ctrlPr>
                                  </m:fPr>
                                  <m:num>
                                    <m:r>
                                      <m:rPr/>
                                      <w:rPr>
                                        <w:rFonts w:ascii="Cambria Math" w:hAnsi="Cambria Math" w:eastAsia="Cambria Math" w:cstheme="minorBidi"/>
                                        <w:color w:val="000000" w:themeColor="text1"/>
                                        <w14:textFill>
                                          <w14:solidFill>
                                            <w14:schemeClr w14:val="tx1"/>
                                          </w14:solidFill>
                                        </w14:textFill>
                                      </w:rPr>
                                      <m:t>16</m:t>
                                    </m:r>
                                    <m:ctrlPr>
                                      <w:rPr>
                                        <w:rFonts w:ascii="Cambria Math" w:hAnsi="Cambria Math" w:eastAsia="Cambria Math" w:cstheme="minorBidi"/>
                                        <w:i/>
                                        <w:iCs/>
                                        <w:color w:val="000000" w:themeColor="text1"/>
                                        <w14:textFill>
                                          <w14:solidFill>
                                            <w14:schemeClr w14:val="tx1"/>
                                          </w14:solidFill>
                                        </w14:textFill>
                                      </w:rPr>
                                    </m:ctrlPr>
                                  </m:num>
                                  <m:den>
                                    <m:r>
                                      <m:rPr/>
                                      <w:rPr>
                                        <w:rFonts w:ascii="Cambria Math" w:hAnsi="Cambria Math" w:eastAsia="Cambria Math" w:cstheme="minorBidi"/>
                                        <w:color w:val="000000" w:themeColor="text1"/>
                                        <w14:textFill>
                                          <w14:solidFill>
                                            <w14:schemeClr w14:val="tx1"/>
                                          </w14:solidFill>
                                        </w14:textFill>
                                      </w:rPr>
                                      <m:t>12</m:t>
                                    </m:r>
                                    <m:ctrlPr>
                                      <w:rPr>
                                        <w:rFonts w:ascii="Cambria Math" w:hAnsi="Cambria Math" w:eastAsia="Cambria Math" w:cstheme="minorBidi"/>
                                        <w:i/>
                                        <w:iCs/>
                                        <w:color w:val="000000" w:themeColor="text1"/>
                                        <w14:textFill>
                                          <w14:solidFill>
                                            <w14:schemeClr w14:val="tx1"/>
                                          </w14:solidFill>
                                        </w14:textFill>
                                      </w:rPr>
                                    </m:ctrlPr>
                                  </m:den>
                                </m:f>
                                <m:r>
                                  <m:rPr/>
                                  <w:rPr>
                                    <w:rFonts w:ascii="Cambria Math" w:hAnsi="Cambria Math" w:eastAsia="Cambria Math" w:cstheme="minorBidi"/>
                                    <w:color w:val="000000" w:themeColor="text1"/>
                                    <w14:textFill>
                                      <w14:solidFill>
                                        <w14:schemeClr w14:val="tx1"/>
                                      </w14:solidFill>
                                    </w14:textFill>
                                  </w:rPr>
                                  <m:t>∗F∗</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DOC</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f,y </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MCF</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 </m:t>
                                </m:r>
                                <m:nary>
                                  <m:naryPr>
                                    <m:chr m:val="∑"/>
                                    <m:ctrlPr>
                                      <w:rPr>
                                        <w:rFonts w:ascii="Cambria Math" w:hAnsi="Cambria Math" w:eastAsia="Cambria Math" w:cstheme="minorBidi"/>
                                        <w:i/>
                                        <w:iCs/>
                                        <w:color w:val="000000" w:themeColor="text1"/>
                                        <w14:textFill>
                                          <w14:solidFill>
                                            <w14:schemeClr w14:val="tx1"/>
                                          </w14:solidFill>
                                        </w14:textFill>
                                      </w:rPr>
                                    </m:ctrlPr>
                                  </m:naryPr>
                                  <m:sub>
                                    <m:r>
                                      <m:rPr/>
                                      <w:rPr>
                                        <w:rFonts w:ascii="Cambria Math" w:hAnsi="Cambria Math" w:eastAsia="Cambria Math" w:cstheme="minorBidi"/>
                                        <w:color w:val="000000" w:themeColor="text1"/>
                                        <w14:textFill>
                                          <w14:solidFill>
                                            <w14:schemeClr w14:val="tx1"/>
                                          </w14:solidFill>
                                        </w14:textFill>
                                      </w:rPr>
                                      <m:t>x=1</m:t>
                                    </m:r>
                                    <m:ctrlPr>
                                      <w:rPr>
                                        <w:rFonts w:ascii="Cambria Math" w:hAnsi="Cambria Math" w:eastAsia="Cambria Math" w:cstheme="minorBidi"/>
                                        <w:i/>
                                        <w:iCs/>
                                        <w:color w:val="000000" w:themeColor="text1"/>
                                        <w14:textFill>
                                          <w14:solidFill>
                                            <w14:schemeClr w14:val="tx1"/>
                                          </w14:solidFill>
                                        </w14:textFill>
                                      </w:rPr>
                                    </m:ctrlPr>
                                  </m:sub>
                                  <m:sup>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p>
                                  <m:e>
                                    <m:nary>
                                      <m:naryPr>
                                        <m:chr m:val="∑"/>
                                        <m:limLoc m:val="subSup"/>
                                        <m:supHide m:val="1"/>
                                        <m:ctrlPr>
                                          <w:rPr>
                                            <w:rFonts w:ascii="Cambria Math" w:hAnsi="Cambria Math" w:eastAsia="Cambria Math" w:cstheme="minorBidi"/>
                                            <w:i/>
                                            <w:iCs/>
                                            <w:color w:val="000000" w:themeColor="text1"/>
                                            <w14:textFill>
                                              <w14:solidFill>
                                                <w14:schemeClr w14:val="tx1"/>
                                              </w14:solidFill>
                                            </w14:textFill>
                                          </w:rPr>
                                        </m:ctrlPr>
                                      </m:naryPr>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up>
                                        <m:ctrlPr>
                                          <w:rPr>
                                            <w:rFonts w:ascii="Cambria Math" w:hAnsi="Cambria Math" w:eastAsia="Cambria Math" w:cstheme="minorBidi"/>
                                            <w:i/>
                                            <w:iCs/>
                                            <w:color w:val="000000" w:themeColor="text1"/>
                                            <w14:textFill>
                                              <w14:solidFill>
                                                <w14:schemeClr w14:val="tx1"/>
                                              </w14:solidFill>
                                            </w14:textFill>
                                          </w:rPr>
                                        </m:ctrlPr>
                                      </m:sup>
                                      <m:e>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W</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j,x</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 </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DOC</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j</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 </m:t>
                                        </m:r>
                                        <m:sSup>
                                          <m:sSupPr>
                                            <m:ctrlPr>
                                              <w:rPr>
                                                <w:rFonts w:ascii="Cambria Math" w:hAnsi="Cambria Math" w:eastAsia="Cambria Math" w:cstheme="minorBidi"/>
                                                <w:i/>
                                                <w:iCs/>
                                                <w:color w:val="000000" w:themeColor="text1"/>
                                                <w14:textFill>
                                                  <w14:solidFill>
                                                    <w14:schemeClr w14:val="tx1"/>
                                                  </w14:solidFill>
                                                </w14:textFill>
                                              </w:rPr>
                                            </m:ctrlPr>
                                          </m:sSupPr>
                                          <m:e>
                                            <m:r>
                                              <m:rPr/>
                                              <w:rPr>
                                                <w:rFonts w:ascii="Cambria Math" w:hAnsi="Cambria Math" w:eastAsia="Cambria Math" w:cstheme="minorBidi"/>
                                                <w:color w:val="000000" w:themeColor="text1"/>
                                                <w14:textFill>
                                                  <w14:solidFill>
                                                    <w14:schemeClr w14:val="tx1"/>
                                                  </w14:solidFill>
                                                </w14:textFill>
                                              </w:rPr>
                                              <m:t>e</m:t>
                                            </m:r>
                                            <m:ctrlPr>
                                              <w:rPr>
                                                <w:rFonts w:ascii="Cambria Math" w:hAnsi="Cambria Math" w:eastAsia="Cambria Math" w:cstheme="minorBidi"/>
                                                <w:i/>
                                                <w:iCs/>
                                                <w:color w:val="000000" w:themeColor="text1"/>
                                                <w14:textFill>
                                                  <w14:solidFill>
                                                    <w14:schemeClr w14:val="tx1"/>
                                                  </w14:solidFill>
                                                </w14:textFill>
                                              </w:rPr>
                                            </m:ctrlPr>
                                          </m:e>
                                          <m:sup>
                                            <m:r>
                                              <m:rPr/>
                                              <w:rPr>
                                                <w:rFonts w:ascii="Cambria Math" w:hAnsi="Cambria Math" w:eastAsia="Cambria Math" w:cstheme="minorBidi"/>
                                                <w:color w:val="000000" w:themeColor="text1"/>
                                                <w14:textFill>
                                                  <w14:solidFill>
                                                    <w14:schemeClr w14:val="tx1"/>
                                                  </w14:solidFill>
                                                </w14:textFill>
                                              </w:rPr>
                                              <m:t>−kj∗</m:t>
                                            </m:r>
                                            <m:d>
                                              <m:dPr>
                                                <m:ctrlPr>
                                                  <w:rPr>
                                                    <w:rFonts w:ascii="Cambria Math" w:hAnsi="Cambria Math" w:eastAsia="Cambria Math" w:cstheme="minorBidi"/>
                                                    <w:i/>
                                                    <w:iCs/>
                                                    <w:color w:val="000000" w:themeColor="text1"/>
                                                    <w14:textFill>
                                                      <w14:solidFill>
                                                        <w14:schemeClr w14:val="tx1"/>
                                                      </w14:solidFill>
                                                    </w14:textFill>
                                                  </w:rPr>
                                                </m:ctrlPr>
                                              </m:dPr>
                                              <m:e>
                                                <m:r>
                                                  <m:rPr/>
                                                  <w:rPr>
                                                    <w:rFonts w:ascii="Cambria Math" w:hAnsi="Cambria Math" w:eastAsia="Cambria Math" w:cstheme="minorBidi"/>
                                                    <w:color w:val="000000" w:themeColor="text1"/>
                                                    <w14:textFill>
                                                      <w14:solidFill>
                                                        <w14:schemeClr w14:val="tx1"/>
                                                      </w14:solidFill>
                                                    </w14:textFill>
                                                  </w:rPr>
                                                  <m:t>y−x</m:t>
                                                </m:r>
                                                <m:ctrlPr>
                                                  <w:rPr>
                                                    <w:rFonts w:ascii="Cambria Math" w:hAnsi="Cambria Math" w:eastAsia="Cambria Math" w:cstheme="minorBidi"/>
                                                    <w:i/>
                                                    <w:iCs/>
                                                    <w:color w:val="000000" w:themeColor="text1"/>
                                                    <w14:textFill>
                                                      <w14:solidFill>
                                                        <w14:schemeClr w14:val="tx1"/>
                                                      </w14:solidFill>
                                                    </w14:textFill>
                                                  </w:rPr>
                                                </m:ctrlPr>
                                              </m:e>
                                            </m:d>
                                            <m:ctrlPr>
                                              <w:rPr>
                                                <w:rFonts w:ascii="Cambria Math" w:hAnsi="Cambria Math" w:eastAsia="Cambria Math" w:cstheme="minorBidi"/>
                                                <w:i/>
                                                <w:iCs/>
                                                <w:color w:val="000000" w:themeColor="text1"/>
                                                <w14:textFill>
                                                  <w14:solidFill>
                                                    <w14:schemeClr w14:val="tx1"/>
                                                  </w14:solidFill>
                                                </w14:textFill>
                                              </w:rPr>
                                            </m:ctrlPr>
                                          </m:sup>
                                        </m:sSup>
                                        <m:r>
                                          <m:rPr/>
                                          <w:rPr>
                                            <w:rFonts w:ascii="Cambria Math" w:hAnsi="Cambria Math" w:eastAsia="Cambria Math" w:cstheme="minorBidi"/>
                                            <w:color w:val="000000" w:themeColor="text1"/>
                                            <w14:textFill>
                                              <w14:solidFill>
                                                <w14:schemeClr w14:val="tx1"/>
                                              </w14:solidFill>
                                            </w14:textFill>
                                          </w:rPr>
                                          <m:t>∗(1−</m:t>
                                        </m:r>
                                        <m:sSup>
                                          <m:sSupPr>
                                            <m:ctrlPr>
                                              <w:rPr>
                                                <w:rFonts w:ascii="Cambria Math" w:hAnsi="Cambria Math" w:eastAsia="Cambria Math" w:cstheme="minorBidi"/>
                                                <w:i/>
                                                <w:iCs/>
                                                <w:color w:val="000000" w:themeColor="text1"/>
                                                <w14:textFill>
                                                  <w14:solidFill>
                                                    <w14:schemeClr w14:val="tx1"/>
                                                  </w14:solidFill>
                                                </w14:textFill>
                                              </w:rPr>
                                            </m:ctrlPr>
                                          </m:sSupPr>
                                          <m:e>
                                            <m:r>
                                              <m:rPr/>
                                              <w:rPr>
                                                <w:rFonts w:ascii="Cambria Math" w:hAnsi="Cambria Math" w:eastAsia="Cambria Math" w:cstheme="minorBidi"/>
                                                <w:color w:val="000000" w:themeColor="text1"/>
                                                <w14:textFill>
                                                  <w14:solidFill>
                                                    <w14:schemeClr w14:val="tx1"/>
                                                  </w14:solidFill>
                                                </w14:textFill>
                                              </w:rPr>
                                              <m:t>e</m:t>
                                            </m:r>
                                            <m:ctrlPr>
                                              <w:rPr>
                                                <w:rFonts w:ascii="Cambria Math" w:hAnsi="Cambria Math" w:eastAsia="Cambria Math" w:cstheme="minorBidi"/>
                                                <w:i/>
                                                <w:iCs/>
                                                <w:color w:val="000000" w:themeColor="text1"/>
                                                <w14:textFill>
                                                  <w14:solidFill>
                                                    <w14:schemeClr w14:val="tx1"/>
                                                  </w14:solidFill>
                                                </w14:textFill>
                                              </w:rPr>
                                            </m:ctrlPr>
                                          </m:e>
                                          <m:sup>
                                            <m:r>
                                              <m:rPr/>
                                              <w:rPr>
                                                <w:rFonts w:ascii="Cambria Math" w:hAnsi="Cambria Math" w:eastAsia="Cambria Math" w:cstheme="minorBidi"/>
                                                <w:color w:val="000000" w:themeColor="text1"/>
                                                <w14:textFill>
                                                  <w14:solidFill>
                                                    <w14:schemeClr w14:val="tx1"/>
                                                  </w14:solidFill>
                                                </w14:textFill>
                                              </w:rPr>
                                              <m:t>−kj</m:t>
                                            </m:r>
                                            <m:ctrlPr>
                                              <w:rPr>
                                                <w:rFonts w:ascii="Cambria Math" w:hAnsi="Cambria Math" w:eastAsia="Cambria Math" w:cstheme="minorBidi"/>
                                                <w:i/>
                                                <w:iCs/>
                                                <w:color w:val="000000" w:themeColor="text1"/>
                                                <w14:textFill>
                                                  <w14:solidFill>
                                                    <w14:schemeClr w14:val="tx1"/>
                                                  </w14:solidFill>
                                                </w14:textFill>
                                              </w:rPr>
                                            </m:ctrlPr>
                                          </m:sup>
                                        </m:sSup>
                                        <m:r>
                                          <m:rPr/>
                                          <w:rPr>
                                            <w:rFonts w:ascii="Cambria Math" w:hAnsi="Cambria Math" w:eastAsia="Cambria Math" w:cstheme="minorBidi"/>
                                            <w:color w:val="000000" w:themeColor="text1"/>
                                            <w14:textFill>
                                              <w14:solidFill>
                                                <w14:schemeClr w14:val="tx1"/>
                                              </w14:solidFill>
                                            </w14:textFill>
                                          </w:rPr>
                                          <m:t>)</m:t>
                                        </m:r>
                                        <m:ctrlPr>
                                          <w:rPr>
                                            <w:rFonts w:ascii="Cambria Math" w:hAnsi="Cambria Math" w:eastAsia="Cambria Math" w:cstheme="minorBidi"/>
                                            <w:i/>
                                            <w:iCs/>
                                            <w:color w:val="000000" w:themeColor="text1"/>
                                            <w14:textFill>
                                              <w14:solidFill>
                                                <w14:schemeClr w14:val="tx1"/>
                                              </w14:solidFill>
                                            </w14:textFill>
                                          </w:rPr>
                                        </m:ctrlPr>
                                      </m:e>
                                    </m:nary>
                                    <m:ctrlPr>
                                      <w:rPr>
                                        <w:rFonts w:ascii="Cambria Math" w:hAnsi="Cambria Math" w:eastAsia="Cambria Math" w:cstheme="minorBidi"/>
                                        <w:i/>
                                        <w:iCs/>
                                        <w:color w:val="000000" w:themeColor="text1"/>
                                        <w14:textFill>
                                          <w14:solidFill>
                                            <w14:schemeClr w14:val="tx1"/>
                                          </w14:solidFill>
                                        </w14:textFill>
                                      </w:rPr>
                                    </m:ctrlPr>
                                  </m:e>
                                </m:nary>
                              </m:oMath>
                            </m:oMathPara>
                          </w:p>
                        </w:txbxContent>
                      </wps:txbx>
                      <wps:bodyPr vertOverflow="clip" horzOverflow="clip" wrap="square" lIns="0" tIns="0" rIns="0" bIns="0" rtlCol="0" anchor="t">
                        <a:noAutofit/>
                      </wps:bodyPr>
                    </wps:wsp>
                  </a:graphicData>
                </a:graphic>
              </wp:inline>
            </w:drawing>
          </mc:Choice>
          <mc:Fallback>
            <w:pict>
              <v:shape id="CuadroTexto 7" o:spid="_x0000_s1026" o:spt="202" type="#_x0000_t202" style="height:86.1pt;width:414pt;" filled="f" stroked="f" coordsize="21600,21600" o:gfxdata="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NvfTzTAAAABQEAAA8AAAAA&#10;AAAAAQAgAAAAIgAAAGRycy9kb3ducmV2LnhtbFBLAQIUABQAAAAIAIdO4kDHsEiB4AEAAMcDAAAO&#10;AAAAAAAAAAEAIAAAACIBAABkcnMvZTJvRG9jLnhtbFBLBQYAAAAABgAGAFkBAAB0BQAAAAA=&#10;">
                <v:fill on="f" focussize="0,0"/>
                <v:stroke on="f"/>
                <v:imagedata o:title=""/>
                <o:lock v:ext="edit" aspectratio="f"/>
                <v:textbox inset="0mm,0mm,0mm,0mm">
                  <w:txbxContent>
                    <w:p w14:paraId="14D7BC95">
                      <w:pPr>
                        <w:jc w:val="center"/>
                        <w:rPr>
                          <w:rFonts w:ascii="Cambria Math" w:hAnsi="+mn-cs" w:cstheme="minorBidi"/>
                          <w:i/>
                          <w:iCs/>
                          <w:color w:val="000000" w:themeColor="text1"/>
                          <w14:textFill>
                            <w14:solidFill>
                              <w14:schemeClr w14:val="tx1"/>
                            </w14:solidFill>
                          </w14:textFill>
                        </w:rPr>
                      </w:pPr>
                      <m:oMathPara>
                        <m:oMath>
                          <m:sSub>
                            <m:sSubPr>
                              <m:ctrlPr>
                                <w:rPr>
                                  <w:rFonts w:ascii="Cambria Math" w:hAnsi="Cambria Math" w:eastAsiaTheme="minorEastAsia" w:cstheme="minorBidi"/>
                                  <w:i/>
                                  <w:iCs/>
                                  <w:color w:val="000000" w:themeColor="text1"/>
                                  <w14:textFill>
                                    <w14:solidFill>
                                      <w14:schemeClr w14:val="tx1"/>
                                    </w14:solidFill>
                                  </w14:textFill>
                                </w:rPr>
                              </m:ctrlPr>
                            </m:sSubPr>
                            <m:e>
                              <m:r>
                                <m:rPr/>
                                <w:rPr>
                                  <w:rFonts w:ascii="Cambria Math" w:hAnsi="Cambria Math" w:cstheme="minorBidi"/>
                                  <w:color w:val="000000" w:themeColor="text1"/>
                                  <w14:textFill>
                                    <w14:solidFill>
                                      <w14:schemeClr w14:val="tx1"/>
                                    </w14:solidFill>
                                  </w14:textFill>
                                </w:rPr>
                                <m:t>BE</m:t>
                              </m:r>
                              <m:ctrlPr>
                                <w:rPr>
                                  <w:rFonts w:ascii="Cambria Math" w:hAnsi="Cambria Math" w:eastAsiaTheme="minorEastAsia" w:cstheme="minorBidi"/>
                                  <w:i/>
                                  <w:iCs/>
                                  <w:color w:val="000000" w:themeColor="text1"/>
                                  <w14:textFill>
                                    <w14:solidFill>
                                      <w14:schemeClr w14:val="tx1"/>
                                    </w14:solidFill>
                                  </w14:textFill>
                                </w:rPr>
                              </m:ctrlPr>
                            </m:e>
                            <m:sub>
                              <m:r>
                                <m:rPr/>
                                <w:rPr>
                                  <w:rFonts w:ascii="Cambria Math" w:hAnsi="Cambria Math" w:cstheme="minorBidi"/>
                                  <w:color w:val="000000" w:themeColor="text1"/>
                                  <w14:textFill>
                                    <w14:solidFill>
                                      <w14:schemeClr w14:val="tx1"/>
                                    </w14:solidFill>
                                  </w14:textFill>
                                </w:rPr>
                                <m:t>CH4,SWDS,y</m:t>
                              </m:r>
                              <m:ctrlPr>
                                <w:rPr>
                                  <w:rFonts w:ascii="Cambria Math" w:hAnsi="Cambria Math" w:eastAsiaTheme="minorEastAsia"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φ</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d>
                            <m:dPr>
                              <m:ctrlPr>
                                <w:rPr>
                                  <w:rFonts w:ascii="Cambria Math" w:hAnsi="Cambria Math" w:eastAsia="Cambria Math" w:cstheme="minorBidi"/>
                                  <w:i/>
                                  <w:iCs/>
                                  <w:color w:val="000000" w:themeColor="text1"/>
                                  <w14:textFill>
                                    <w14:solidFill>
                                      <w14:schemeClr w14:val="tx1"/>
                                    </w14:solidFill>
                                  </w14:textFill>
                                </w:rPr>
                              </m:ctrlPr>
                            </m:dPr>
                            <m:e>
                              <m:r>
                                <m:rPr/>
                                <w:rPr>
                                  <w:rFonts w:ascii="Cambria Math" w:hAnsi="Cambria Math" w:eastAsia="Cambria Math" w:cstheme="minorBidi"/>
                                  <w:color w:val="000000" w:themeColor="text1"/>
                                  <w14:textFill>
                                    <w14:solidFill>
                                      <w14:schemeClr w14:val="tx1"/>
                                    </w14:solidFill>
                                  </w14:textFill>
                                </w:rPr>
                                <m:t>1−</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f</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Sub>
                              <m:ctrlPr>
                                <w:rPr>
                                  <w:rFonts w:ascii="Cambria Math" w:hAnsi="Cambria Math" w:eastAsia="Cambria Math" w:cstheme="minorBidi"/>
                                  <w:i/>
                                  <w:iCs/>
                                  <w:color w:val="000000" w:themeColor="text1"/>
                                  <w14:textFill>
                                    <w14:solidFill>
                                      <w14:schemeClr w14:val="tx1"/>
                                    </w14:solidFill>
                                  </w14:textFill>
                                </w:rPr>
                              </m:ctrlPr>
                            </m:e>
                          </m:d>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GWP</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CH4</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d>
                            <m:dPr>
                              <m:ctrlPr>
                                <w:rPr>
                                  <w:rFonts w:ascii="Cambria Math" w:hAnsi="Cambria Math" w:eastAsia="Cambria Math" w:cstheme="minorBidi"/>
                                  <w:i/>
                                  <w:iCs/>
                                  <w:color w:val="000000" w:themeColor="text1"/>
                                  <w14:textFill>
                                    <w14:solidFill>
                                      <w14:schemeClr w14:val="tx1"/>
                                    </w14:solidFill>
                                  </w14:textFill>
                                </w:rPr>
                              </m:ctrlPr>
                            </m:dPr>
                            <m:e>
                              <m:r>
                                <m:rPr/>
                                <w:rPr>
                                  <w:rFonts w:ascii="Cambria Math" w:hAnsi="Cambria Math" w:eastAsia="Cambria Math" w:cstheme="minorBidi"/>
                                  <w:color w:val="000000" w:themeColor="text1"/>
                                  <w14:textFill>
                                    <w14:solidFill>
                                      <w14:schemeClr w14:val="tx1"/>
                                    </w14:solidFill>
                                  </w14:textFill>
                                </w:rPr>
                                <m:t>1−OX</m:t>
                              </m:r>
                              <m:ctrlPr>
                                <w:rPr>
                                  <w:rFonts w:ascii="Cambria Math" w:hAnsi="Cambria Math" w:eastAsia="Cambria Math" w:cstheme="minorBidi"/>
                                  <w:i/>
                                  <w:iCs/>
                                  <w:color w:val="000000" w:themeColor="text1"/>
                                  <w14:textFill>
                                    <w14:solidFill>
                                      <w14:schemeClr w14:val="tx1"/>
                                    </w14:solidFill>
                                  </w14:textFill>
                                </w:rPr>
                              </m:ctrlPr>
                            </m:e>
                          </m:d>
                          <m:r>
                            <m:rPr/>
                            <w:rPr>
                              <w:rFonts w:ascii="Cambria Math" w:hAnsi="Cambria Math" w:eastAsia="Cambria Math" w:cstheme="minorBidi"/>
                              <w:color w:val="000000" w:themeColor="text1"/>
                              <w14:textFill>
                                <w14:solidFill>
                                  <w14:schemeClr w14:val="tx1"/>
                                </w14:solidFill>
                              </w14:textFill>
                            </w:rPr>
                            <m:t>∗</m:t>
                          </m:r>
                          <m:f>
                            <m:fPr>
                              <m:ctrlPr>
                                <w:rPr>
                                  <w:rFonts w:ascii="Cambria Math" w:hAnsi="Cambria Math" w:eastAsia="Cambria Math" w:cstheme="minorBidi"/>
                                  <w:i/>
                                  <w:iCs/>
                                  <w:color w:val="000000" w:themeColor="text1"/>
                                  <w14:textFill>
                                    <w14:solidFill>
                                      <w14:schemeClr w14:val="tx1"/>
                                    </w14:solidFill>
                                  </w14:textFill>
                                </w:rPr>
                              </m:ctrlPr>
                            </m:fPr>
                            <m:num>
                              <m:r>
                                <m:rPr/>
                                <w:rPr>
                                  <w:rFonts w:ascii="Cambria Math" w:hAnsi="Cambria Math" w:eastAsia="Cambria Math" w:cstheme="minorBidi"/>
                                  <w:color w:val="000000" w:themeColor="text1"/>
                                  <w14:textFill>
                                    <w14:solidFill>
                                      <w14:schemeClr w14:val="tx1"/>
                                    </w14:solidFill>
                                  </w14:textFill>
                                </w:rPr>
                                <m:t>16</m:t>
                              </m:r>
                              <m:ctrlPr>
                                <w:rPr>
                                  <w:rFonts w:ascii="Cambria Math" w:hAnsi="Cambria Math" w:eastAsia="Cambria Math" w:cstheme="minorBidi"/>
                                  <w:i/>
                                  <w:iCs/>
                                  <w:color w:val="000000" w:themeColor="text1"/>
                                  <w14:textFill>
                                    <w14:solidFill>
                                      <w14:schemeClr w14:val="tx1"/>
                                    </w14:solidFill>
                                  </w14:textFill>
                                </w:rPr>
                              </m:ctrlPr>
                            </m:num>
                            <m:den>
                              <m:r>
                                <m:rPr/>
                                <w:rPr>
                                  <w:rFonts w:ascii="Cambria Math" w:hAnsi="Cambria Math" w:eastAsia="Cambria Math" w:cstheme="minorBidi"/>
                                  <w:color w:val="000000" w:themeColor="text1"/>
                                  <w14:textFill>
                                    <w14:solidFill>
                                      <w14:schemeClr w14:val="tx1"/>
                                    </w14:solidFill>
                                  </w14:textFill>
                                </w:rPr>
                                <m:t>12</m:t>
                              </m:r>
                              <m:ctrlPr>
                                <w:rPr>
                                  <w:rFonts w:ascii="Cambria Math" w:hAnsi="Cambria Math" w:eastAsia="Cambria Math" w:cstheme="minorBidi"/>
                                  <w:i/>
                                  <w:iCs/>
                                  <w:color w:val="000000" w:themeColor="text1"/>
                                  <w14:textFill>
                                    <w14:solidFill>
                                      <w14:schemeClr w14:val="tx1"/>
                                    </w14:solidFill>
                                  </w14:textFill>
                                </w:rPr>
                              </m:ctrlPr>
                            </m:den>
                          </m:f>
                          <m:r>
                            <m:rPr/>
                            <w:rPr>
                              <w:rFonts w:ascii="Cambria Math" w:hAnsi="Cambria Math" w:eastAsia="Cambria Math" w:cstheme="minorBidi"/>
                              <w:color w:val="000000" w:themeColor="text1"/>
                              <w14:textFill>
                                <w14:solidFill>
                                  <w14:schemeClr w14:val="tx1"/>
                                </w14:solidFill>
                              </w14:textFill>
                            </w:rPr>
                            <m:t>∗F∗</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DOC</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f,y </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MCF</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 </m:t>
                          </m:r>
                          <m:nary>
                            <m:naryPr>
                              <m:chr m:val="∑"/>
                              <m:ctrlPr>
                                <w:rPr>
                                  <w:rFonts w:ascii="Cambria Math" w:hAnsi="Cambria Math" w:eastAsia="Cambria Math" w:cstheme="minorBidi"/>
                                  <w:i/>
                                  <w:iCs/>
                                  <w:color w:val="000000" w:themeColor="text1"/>
                                  <w14:textFill>
                                    <w14:solidFill>
                                      <w14:schemeClr w14:val="tx1"/>
                                    </w14:solidFill>
                                  </w14:textFill>
                                </w:rPr>
                              </m:ctrlPr>
                            </m:naryPr>
                            <m:sub>
                              <m:r>
                                <m:rPr/>
                                <w:rPr>
                                  <w:rFonts w:ascii="Cambria Math" w:hAnsi="Cambria Math" w:eastAsia="Cambria Math" w:cstheme="minorBidi"/>
                                  <w:color w:val="000000" w:themeColor="text1"/>
                                  <w14:textFill>
                                    <w14:solidFill>
                                      <w14:schemeClr w14:val="tx1"/>
                                    </w14:solidFill>
                                  </w14:textFill>
                                </w:rPr>
                                <m:t>x=1</m:t>
                              </m:r>
                              <m:ctrlPr>
                                <w:rPr>
                                  <w:rFonts w:ascii="Cambria Math" w:hAnsi="Cambria Math" w:eastAsia="Cambria Math" w:cstheme="minorBidi"/>
                                  <w:i/>
                                  <w:iCs/>
                                  <w:color w:val="000000" w:themeColor="text1"/>
                                  <w14:textFill>
                                    <w14:solidFill>
                                      <w14:schemeClr w14:val="tx1"/>
                                    </w14:solidFill>
                                  </w14:textFill>
                                </w:rPr>
                              </m:ctrlPr>
                            </m:sub>
                            <m:sup>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p>
                            <m:e>
                              <m:nary>
                                <m:naryPr>
                                  <m:chr m:val="∑"/>
                                  <m:limLoc m:val="subSup"/>
                                  <m:supHide m:val="1"/>
                                  <m:ctrlPr>
                                    <w:rPr>
                                      <w:rFonts w:ascii="Cambria Math" w:hAnsi="Cambria Math" w:eastAsia="Cambria Math" w:cstheme="minorBidi"/>
                                      <w:i/>
                                      <w:iCs/>
                                      <w:color w:val="000000" w:themeColor="text1"/>
                                      <w14:textFill>
                                        <w14:solidFill>
                                          <w14:schemeClr w14:val="tx1"/>
                                        </w14:solidFill>
                                      </w14:textFill>
                                    </w:rPr>
                                  </m:ctrlPr>
                                </m:naryPr>
                                <m:sub>
                                  <m:r>
                                    <m:rPr/>
                                    <w:rPr>
                                      <w:rFonts w:ascii="Cambria Math" w:hAnsi="Cambria Math" w:eastAsia="Cambria Math" w:cstheme="minorBidi"/>
                                      <w:color w:val="000000" w:themeColor="text1"/>
                                      <w14:textFill>
                                        <w14:solidFill>
                                          <w14:schemeClr w14:val="tx1"/>
                                        </w14:solidFill>
                                      </w14:textFill>
                                    </w:rPr>
                                    <m:t>y</m:t>
                                  </m:r>
                                  <m:ctrlPr>
                                    <w:rPr>
                                      <w:rFonts w:ascii="Cambria Math" w:hAnsi="Cambria Math" w:eastAsia="Cambria Math" w:cstheme="minorBidi"/>
                                      <w:i/>
                                      <w:iCs/>
                                      <w:color w:val="000000" w:themeColor="text1"/>
                                      <w14:textFill>
                                        <w14:solidFill>
                                          <w14:schemeClr w14:val="tx1"/>
                                        </w14:solidFill>
                                      </w14:textFill>
                                    </w:rPr>
                                  </m:ctrlPr>
                                </m:sub>
                                <m:sup>
                                  <m:ctrlPr>
                                    <w:rPr>
                                      <w:rFonts w:ascii="Cambria Math" w:hAnsi="Cambria Math" w:eastAsia="Cambria Math" w:cstheme="minorBidi"/>
                                      <w:i/>
                                      <w:iCs/>
                                      <w:color w:val="000000" w:themeColor="text1"/>
                                      <w14:textFill>
                                        <w14:solidFill>
                                          <w14:schemeClr w14:val="tx1"/>
                                        </w14:solidFill>
                                      </w14:textFill>
                                    </w:rPr>
                                  </m:ctrlPr>
                                </m:sup>
                                <m:e>
                                  <m:r>
                                    <m:rPr/>
                                    <w:rPr>
                                      <w:rFonts w:ascii="Cambria Math" w:hAnsi="Cambria Math" w:eastAsia="Cambria Math" w:cstheme="minorBidi"/>
                                      <w:color w:val="000000" w:themeColor="text1"/>
                                      <w14:textFill>
                                        <w14:solidFill>
                                          <w14:schemeClr w14:val="tx1"/>
                                        </w14:solidFill>
                                      </w14:textFill>
                                    </w:rPr>
                                    <m:t>(</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W</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j,x</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 </m:t>
                                  </m:r>
                                  <m:sSub>
                                    <m:sSubPr>
                                      <m:ctrlPr>
                                        <w:rPr>
                                          <w:rFonts w:ascii="Cambria Math" w:hAnsi="Cambria Math" w:eastAsia="Cambria Math" w:cstheme="minorBidi"/>
                                          <w:i/>
                                          <w:iCs/>
                                          <w:color w:val="000000" w:themeColor="text1"/>
                                          <w14:textFill>
                                            <w14:solidFill>
                                              <w14:schemeClr w14:val="tx1"/>
                                            </w14:solidFill>
                                          </w14:textFill>
                                        </w:rPr>
                                      </m:ctrlPr>
                                    </m:sSubPr>
                                    <m:e>
                                      <m:r>
                                        <m:rPr/>
                                        <w:rPr>
                                          <w:rFonts w:ascii="Cambria Math" w:hAnsi="Cambria Math" w:eastAsia="Cambria Math" w:cstheme="minorBidi"/>
                                          <w:color w:val="000000" w:themeColor="text1"/>
                                          <w14:textFill>
                                            <w14:solidFill>
                                              <w14:schemeClr w14:val="tx1"/>
                                            </w14:solidFill>
                                          </w14:textFill>
                                        </w:rPr>
                                        <m:t>DOC</m:t>
                                      </m:r>
                                      <m:ctrlPr>
                                        <w:rPr>
                                          <w:rFonts w:ascii="Cambria Math" w:hAnsi="Cambria Math" w:eastAsia="Cambria Math" w:cstheme="minorBidi"/>
                                          <w:i/>
                                          <w:iCs/>
                                          <w:color w:val="000000" w:themeColor="text1"/>
                                          <w14:textFill>
                                            <w14:solidFill>
                                              <w14:schemeClr w14:val="tx1"/>
                                            </w14:solidFill>
                                          </w14:textFill>
                                        </w:rPr>
                                      </m:ctrlPr>
                                    </m:e>
                                    <m:sub>
                                      <m:r>
                                        <m:rPr/>
                                        <w:rPr>
                                          <w:rFonts w:ascii="Cambria Math" w:hAnsi="Cambria Math" w:eastAsia="Cambria Math" w:cstheme="minorBidi"/>
                                          <w:color w:val="000000" w:themeColor="text1"/>
                                          <w14:textFill>
                                            <w14:solidFill>
                                              <w14:schemeClr w14:val="tx1"/>
                                            </w14:solidFill>
                                          </w14:textFill>
                                        </w:rPr>
                                        <m:t>j</m:t>
                                      </m:r>
                                      <m:ctrlPr>
                                        <w:rPr>
                                          <w:rFonts w:ascii="Cambria Math" w:hAnsi="Cambria Math" w:eastAsia="Cambria Math" w:cstheme="minorBidi"/>
                                          <w:i/>
                                          <w:iCs/>
                                          <w:color w:val="000000" w:themeColor="text1"/>
                                          <w14:textFill>
                                            <w14:solidFill>
                                              <w14:schemeClr w14:val="tx1"/>
                                            </w14:solidFill>
                                          </w14:textFill>
                                        </w:rPr>
                                      </m:ctrlPr>
                                    </m:sub>
                                  </m:sSub>
                                  <m:r>
                                    <m:rPr/>
                                    <w:rPr>
                                      <w:rFonts w:ascii="Cambria Math" w:hAnsi="Cambria Math" w:eastAsia="Cambria Math" w:cstheme="minorBidi"/>
                                      <w:color w:val="000000" w:themeColor="text1"/>
                                      <w14:textFill>
                                        <w14:solidFill>
                                          <w14:schemeClr w14:val="tx1"/>
                                        </w14:solidFill>
                                      </w14:textFill>
                                    </w:rPr>
                                    <m:t>∗ </m:t>
                                  </m:r>
                                  <m:sSup>
                                    <m:sSupPr>
                                      <m:ctrlPr>
                                        <w:rPr>
                                          <w:rFonts w:ascii="Cambria Math" w:hAnsi="Cambria Math" w:eastAsia="Cambria Math" w:cstheme="minorBidi"/>
                                          <w:i/>
                                          <w:iCs/>
                                          <w:color w:val="000000" w:themeColor="text1"/>
                                          <w14:textFill>
                                            <w14:solidFill>
                                              <w14:schemeClr w14:val="tx1"/>
                                            </w14:solidFill>
                                          </w14:textFill>
                                        </w:rPr>
                                      </m:ctrlPr>
                                    </m:sSupPr>
                                    <m:e>
                                      <m:r>
                                        <m:rPr/>
                                        <w:rPr>
                                          <w:rFonts w:ascii="Cambria Math" w:hAnsi="Cambria Math" w:eastAsia="Cambria Math" w:cstheme="minorBidi"/>
                                          <w:color w:val="000000" w:themeColor="text1"/>
                                          <w14:textFill>
                                            <w14:solidFill>
                                              <w14:schemeClr w14:val="tx1"/>
                                            </w14:solidFill>
                                          </w14:textFill>
                                        </w:rPr>
                                        <m:t>e</m:t>
                                      </m:r>
                                      <m:ctrlPr>
                                        <w:rPr>
                                          <w:rFonts w:ascii="Cambria Math" w:hAnsi="Cambria Math" w:eastAsia="Cambria Math" w:cstheme="minorBidi"/>
                                          <w:i/>
                                          <w:iCs/>
                                          <w:color w:val="000000" w:themeColor="text1"/>
                                          <w14:textFill>
                                            <w14:solidFill>
                                              <w14:schemeClr w14:val="tx1"/>
                                            </w14:solidFill>
                                          </w14:textFill>
                                        </w:rPr>
                                      </m:ctrlPr>
                                    </m:e>
                                    <m:sup>
                                      <m:r>
                                        <m:rPr/>
                                        <w:rPr>
                                          <w:rFonts w:ascii="Cambria Math" w:hAnsi="Cambria Math" w:eastAsia="Cambria Math" w:cstheme="minorBidi"/>
                                          <w:color w:val="000000" w:themeColor="text1"/>
                                          <w14:textFill>
                                            <w14:solidFill>
                                              <w14:schemeClr w14:val="tx1"/>
                                            </w14:solidFill>
                                          </w14:textFill>
                                        </w:rPr>
                                        <m:t>−kj∗</m:t>
                                      </m:r>
                                      <m:d>
                                        <m:dPr>
                                          <m:ctrlPr>
                                            <w:rPr>
                                              <w:rFonts w:ascii="Cambria Math" w:hAnsi="Cambria Math" w:eastAsia="Cambria Math" w:cstheme="minorBidi"/>
                                              <w:i/>
                                              <w:iCs/>
                                              <w:color w:val="000000" w:themeColor="text1"/>
                                              <w14:textFill>
                                                <w14:solidFill>
                                                  <w14:schemeClr w14:val="tx1"/>
                                                </w14:solidFill>
                                              </w14:textFill>
                                            </w:rPr>
                                          </m:ctrlPr>
                                        </m:dPr>
                                        <m:e>
                                          <m:r>
                                            <m:rPr/>
                                            <w:rPr>
                                              <w:rFonts w:ascii="Cambria Math" w:hAnsi="Cambria Math" w:eastAsia="Cambria Math" w:cstheme="minorBidi"/>
                                              <w:color w:val="000000" w:themeColor="text1"/>
                                              <w14:textFill>
                                                <w14:solidFill>
                                                  <w14:schemeClr w14:val="tx1"/>
                                                </w14:solidFill>
                                              </w14:textFill>
                                            </w:rPr>
                                            <m:t>y−x</m:t>
                                          </m:r>
                                          <m:ctrlPr>
                                            <w:rPr>
                                              <w:rFonts w:ascii="Cambria Math" w:hAnsi="Cambria Math" w:eastAsia="Cambria Math" w:cstheme="minorBidi"/>
                                              <w:i/>
                                              <w:iCs/>
                                              <w:color w:val="000000" w:themeColor="text1"/>
                                              <w14:textFill>
                                                <w14:solidFill>
                                                  <w14:schemeClr w14:val="tx1"/>
                                                </w14:solidFill>
                                              </w14:textFill>
                                            </w:rPr>
                                          </m:ctrlPr>
                                        </m:e>
                                      </m:d>
                                      <m:ctrlPr>
                                        <w:rPr>
                                          <w:rFonts w:ascii="Cambria Math" w:hAnsi="Cambria Math" w:eastAsia="Cambria Math" w:cstheme="minorBidi"/>
                                          <w:i/>
                                          <w:iCs/>
                                          <w:color w:val="000000" w:themeColor="text1"/>
                                          <w14:textFill>
                                            <w14:solidFill>
                                              <w14:schemeClr w14:val="tx1"/>
                                            </w14:solidFill>
                                          </w14:textFill>
                                        </w:rPr>
                                      </m:ctrlPr>
                                    </m:sup>
                                  </m:sSup>
                                  <m:r>
                                    <m:rPr/>
                                    <w:rPr>
                                      <w:rFonts w:ascii="Cambria Math" w:hAnsi="Cambria Math" w:eastAsia="Cambria Math" w:cstheme="minorBidi"/>
                                      <w:color w:val="000000" w:themeColor="text1"/>
                                      <w14:textFill>
                                        <w14:solidFill>
                                          <w14:schemeClr w14:val="tx1"/>
                                        </w14:solidFill>
                                      </w14:textFill>
                                    </w:rPr>
                                    <m:t>∗(1−</m:t>
                                  </m:r>
                                  <m:sSup>
                                    <m:sSupPr>
                                      <m:ctrlPr>
                                        <w:rPr>
                                          <w:rFonts w:ascii="Cambria Math" w:hAnsi="Cambria Math" w:eastAsia="Cambria Math" w:cstheme="minorBidi"/>
                                          <w:i/>
                                          <w:iCs/>
                                          <w:color w:val="000000" w:themeColor="text1"/>
                                          <w14:textFill>
                                            <w14:solidFill>
                                              <w14:schemeClr w14:val="tx1"/>
                                            </w14:solidFill>
                                          </w14:textFill>
                                        </w:rPr>
                                      </m:ctrlPr>
                                    </m:sSupPr>
                                    <m:e>
                                      <m:r>
                                        <m:rPr/>
                                        <w:rPr>
                                          <w:rFonts w:ascii="Cambria Math" w:hAnsi="Cambria Math" w:eastAsia="Cambria Math" w:cstheme="minorBidi"/>
                                          <w:color w:val="000000" w:themeColor="text1"/>
                                          <w14:textFill>
                                            <w14:solidFill>
                                              <w14:schemeClr w14:val="tx1"/>
                                            </w14:solidFill>
                                          </w14:textFill>
                                        </w:rPr>
                                        <m:t>e</m:t>
                                      </m:r>
                                      <m:ctrlPr>
                                        <w:rPr>
                                          <w:rFonts w:ascii="Cambria Math" w:hAnsi="Cambria Math" w:eastAsia="Cambria Math" w:cstheme="minorBidi"/>
                                          <w:i/>
                                          <w:iCs/>
                                          <w:color w:val="000000" w:themeColor="text1"/>
                                          <w14:textFill>
                                            <w14:solidFill>
                                              <w14:schemeClr w14:val="tx1"/>
                                            </w14:solidFill>
                                          </w14:textFill>
                                        </w:rPr>
                                      </m:ctrlPr>
                                    </m:e>
                                    <m:sup>
                                      <m:r>
                                        <m:rPr/>
                                        <w:rPr>
                                          <w:rFonts w:ascii="Cambria Math" w:hAnsi="Cambria Math" w:eastAsia="Cambria Math" w:cstheme="minorBidi"/>
                                          <w:color w:val="000000" w:themeColor="text1"/>
                                          <w14:textFill>
                                            <w14:solidFill>
                                              <w14:schemeClr w14:val="tx1"/>
                                            </w14:solidFill>
                                          </w14:textFill>
                                        </w:rPr>
                                        <m:t>−kj</m:t>
                                      </m:r>
                                      <m:ctrlPr>
                                        <w:rPr>
                                          <w:rFonts w:ascii="Cambria Math" w:hAnsi="Cambria Math" w:eastAsia="Cambria Math" w:cstheme="minorBidi"/>
                                          <w:i/>
                                          <w:iCs/>
                                          <w:color w:val="000000" w:themeColor="text1"/>
                                          <w14:textFill>
                                            <w14:solidFill>
                                              <w14:schemeClr w14:val="tx1"/>
                                            </w14:solidFill>
                                          </w14:textFill>
                                        </w:rPr>
                                      </m:ctrlPr>
                                    </m:sup>
                                  </m:sSup>
                                  <m:r>
                                    <m:rPr/>
                                    <w:rPr>
                                      <w:rFonts w:ascii="Cambria Math" w:hAnsi="Cambria Math" w:eastAsia="Cambria Math" w:cstheme="minorBidi"/>
                                      <w:color w:val="000000" w:themeColor="text1"/>
                                      <w14:textFill>
                                        <w14:solidFill>
                                          <w14:schemeClr w14:val="tx1"/>
                                        </w14:solidFill>
                                      </w14:textFill>
                                    </w:rPr>
                                    <m:t>)</m:t>
                                  </m:r>
                                  <m:ctrlPr>
                                    <w:rPr>
                                      <w:rFonts w:ascii="Cambria Math" w:hAnsi="Cambria Math" w:eastAsia="Cambria Math" w:cstheme="minorBidi"/>
                                      <w:i/>
                                      <w:iCs/>
                                      <w:color w:val="000000" w:themeColor="text1"/>
                                      <w14:textFill>
                                        <w14:solidFill>
                                          <w14:schemeClr w14:val="tx1"/>
                                        </w14:solidFill>
                                      </w14:textFill>
                                    </w:rPr>
                                  </m:ctrlPr>
                                </m:e>
                              </m:nary>
                              <m:ctrlPr>
                                <w:rPr>
                                  <w:rFonts w:ascii="Cambria Math" w:hAnsi="Cambria Math" w:eastAsia="Cambria Math" w:cstheme="minorBidi"/>
                                  <w:i/>
                                  <w:iCs/>
                                  <w:color w:val="000000" w:themeColor="text1"/>
                                  <w14:textFill>
                                    <w14:solidFill>
                                      <w14:schemeClr w14:val="tx1"/>
                                    </w14:solidFill>
                                  </w14:textFill>
                                </w:rPr>
                              </m:ctrlPr>
                            </m:e>
                          </m:nary>
                        </m:oMath>
                      </m:oMathPara>
                    </w:p>
                  </w:txbxContent>
                </v:textbox>
                <w10:wrap type="none"/>
                <w10:anchorlock/>
              </v:shape>
            </w:pict>
          </mc:Fallback>
        </mc:AlternateContent>
      </w:r>
    </w:p>
    <w:p w14:paraId="2BF2E039">
      <w:pPr>
        <w:spacing w:before="0" w:after="0"/>
        <w:rPr>
          <w:rFonts w:eastAsia="Arial"/>
          <w:highlight w:val="none"/>
          <w:lang w:val="en-US"/>
        </w:rPr>
      </w:pPr>
      <w:r>
        <w:rPr>
          <w:rFonts w:eastAsia="Arial"/>
          <w:highlight w:val="none"/>
          <w:lang w:val="en-US"/>
        </w:rPr>
        <w:t>Where:</w:t>
      </w:r>
    </w:p>
    <w:tbl>
      <w:tblPr>
        <w:tblStyle w:val="12"/>
        <w:tblW w:w="8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283"/>
        <w:gridCol w:w="6663"/>
      </w:tblGrid>
      <w:tr w14:paraId="58811B28">
        <w:trPr>
          <w:trHeight w:val="750" w:hRule="atLeast"/>
        </w:trPr>
        <w:tc>
          <w:tcPr>
            <w:tcW w:w="1418" w:type="dxa"/>
            <w:tcBorders>
              <w:top w:val="nil"/>
              <w:left w:val="nil"/>
              <w:bottom w:val="nil"/>
              <w:right w:val="nil"/>
            </w:tcBorders>
            <w:tcMar>
              <w:top w:w="80" w:type="dxa"/>
              <w:left w:w="100" w:type="dxa"/>
              <w:bottom w:w="20" w:type="dxa"/>
              <w:right w:w="100" w:type="dxa"/>
            </w:tcMar>
          </w:tcPr>
          <w:p w14:paraId="7379382C">
            <w:pPr>
              <w:spacing w:before="0" w:after="0"/>
              <w:jc w:val="right"/>
              <w:rPr>
                <w:rFonts w:eastAsia="Arial"/>
                <w:highlight w:val="none"/>
                <w:lang w:val="en-US"/>
              </w:rPr>
            </w:pPr>
            <m:oMathPara>
              <m:oMath>
                <m:sSub>
                  <m:sSubPr>
                    <m:ctrlPr>
                      <w:rPr>
                        <w:rFonts w:ascii="Cambria Math" w:hAnsi="Cambria Math" w:eastAsiaTheme="minorEastAsia" w:cstheme="minorBidi"/>
                        <w:i/>
                        <w:iCs/>
                        <w:color w:val="000000" w:themeColor="text1"/>
                        <w:highlight w:val="none"/>
                        <w:lang w:val="en-US"/>
                        <w14:textFill>
                          <w14:solidFill>
                            <w14:schemeClr w14:val="tx1"/>
                          </w14:solidFill>
                        </w14:textFill>
                      </w:rPr>
                    </m:ctrlPr>
                  </m:sSubPr>
                  <m:e>
                    <m:r>
                      <m:rPr/>
                      <w:rPr>
                        <w:rFonts w:ascii="Cambria Math" w:hAnsi="Cambria Math" w:cstheme="minorBidi"/>
                        <w:color w:val="000000" w:themeColor="text1"/>
                        <w:highlight w:val="none"/>
                        <w:lang w:val="en-US"/>
                        <w14:textFill>
                          <w14:solidFill>
                            <w14:schemeClr w14:val="tx1"/>
                          </w14:solidFill>
                        </w14:textFill>
                      </w:rPr>
                      <m:t>BE</m:t>
                    </m:r>
                    <m:ctrlPr>
                      <w:rPr>
                        <w:rFonts w:ascii="Cambria Math" w:hAnsi="Cambria Math" w:eastAsiaTheme="minorEastAsia" w:cstheme="minorBidi"/>
                        <w:i/>
                        <w:iCs/>
                        <w:color w:val="000000" w:themeColor="text1"/>
                        <w:highlight w:val="none"/>
                        <w:lang w:val="en-US"/>
                        <w14:textFill>
                          <w14:solidFill>
                            <w14:schemeClr w14:val="tx1"/>
                          </w14:solidFill>
                        </w14:textFill>
                      </w:rPr>
                    </m:ctrlPr>
                  </m:e>
                  <m:sub>
                    <m:r>
                      <m:rPr/>
                      <w:rPr>
                        <w:rFonts w:ascii="Cambria Math" w:hAnsi="Cambria Math" w:cstheme="minorBidi"/>
                        <w:color w:val="000000" w:themeColor="text1"/>
                        <w:highlight w:val="none"/>
                        <w:lang w:val="en-US"/>
                        <w14:textFill>
                          <w14:solidFill>
                            <w14:schemeClr w14:val="tx1"/>
                          </w14:solidFill>
                        </w14:textFill>
                      </w:rPr>
                      <m:t>CH4,SWDS,y</m:t>
                    </m:r>
                    <m:ctrlPr>
                      <w:rPr>
                        <w:rFonts w:ascii="Cambria Math" w:hAnsi="Cambria Math" w:eastAsiaTheme="minorEastAsia" w:cstheme="minorBidi"/>
                        <w:i/>
                        <w:iCs/>
                        <w:color w:val="000000" w:themeColor="text1"/>
                        <w:highlight w:val="none"/>
                        <w:lang w:val="en-US"/>
                        <w14:textFill>
                          <w14:solidFill>
                            <w14:schemeClr w14:val="tx1"/>
                          </w14:solidFill>
                        </w14:textFill>
                      </w:rPr>
                    </m:ctrlPr>
                  </m:sub>
                </m:sSub>
              </m:oMath>
            </m:oMathPara>
          </w:p>
        </w:tc>
        <w:tc>
          <w:tcPr>
            <w:tcW w:w="283" w:type="dxa"/>
            <w:tcBorders>
              <w:top w:val="nil"/>
              <w:left w:val="nil"/>
              <w:bottom w:val="nil"/>
              <w:right w:val="nil"/>
            </w:tcBorders>
            <w:tcMar>
              <w:top w:w="80" w:type="dxa"/>
              <w:left w:w="100" w:type="dxa"/>
              <w:bottom w:w="20" w:type="dxa"/>
              <w:right w:w="100" w:type="dxa"/>
            </w:tcMar>
          </w:tcPr>
          <w:p w14:paraId="0321C637">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5C89AF62">
            <w:pPr>
              <w:spacing w:before="0" w:after="0"/>
              <w:rPr>
                <w:rFonts w:eastAsia="Arial"/>
                <w:highlight w:val="none"/>
                <w:lang w:val="en-US"/>
              </w:rPr>
            </w:pPr>
            <w:r>
              <w:rPr>
                <w:rFonts w:eastAsia="Arial"/>
                <w:highlight w:val="none"/>
                <w:lang w:val="en-US"/>
              </w:rPr>
              <w:t>Baseline methane emissions occurring in year y generated from waste disposal at a SWDS during a time period ending in year y (t CO</w:t>
            </w:r>
            <w:r>
              <w:rPr>
                <w:rFonts w:eastAsia="Arial"/>
                <w:highlight w:val="none"/>
                <w:vertAlign w:val="subscript"/>
                <w:lang w:val="en-US"/>
              </w:rPr>
              <w:t>2</w:t>
            </w:r>
            <w:r>
              <w:rPr>
                <w:rFonts w:eastAsia="Arial"/>
                <w:highlight w:val="none"/>
                <w:lang w:val="en-US"/>
              </w:rPr>
              <w:t>e/yr)</w:t>
            </w:r>
          </w:p>
        </w:tc>
      </w:tr>
      <w:tr w14:paraId="7516F023">
        <w:trPr>
          <w:trHeight w:val="17" w:hRule="atLeast"/>
        </w:trPr>
        <w:tc>
          <w:tcPr>
            <w:tcW w:w="1418" w:type="dxa"/>
            <w:tcBorders>
              <w:top w:val="nil"/>
              <w:left w:val="nil"/>
              <w:bottom w:val="nil"/>
              <w:right w:val="nil"/>
            </w:tcBorders>
            <w:tcMar>
              <w:top w:w="80" w:type="dxa"/>
              <w:left w:w="100" w:type="dxa"/>
              <w:bottom w:w="20" w:type="dxa"/>
              <w:right w:w="100" w:type="dxa"/>
            </w:tcMar>
          </w:tcPr>
          <w:p w14:paraId="3C2C5F1D">
            <w:pPr>
              <w:spacing w:before="0" w:after="0"/>
              <w:jc w:val="right"/>
              <w:rPr>
                <w:rFonts w:eastAsia="Arial"/>
                <w:highlight w:val="none"/>
                <w:lang w:val="en-US"/>
              </w:rPr>
            </w:pPr>
            <w:r>
              <w:rPr>
                <w:rFonts w:eastAsia="Arial"/>
                <w:highlight w:val="none"/>
                <w:lang w:val="en-US"/>
              </w:rPr>
              <w:t>x</w:t>
            </w:r>
          </w:p>
        </w:tc>
        <w:tc>
          <w:tcPr>
            <w:tcW w:w="283" w:type="dxa"/>
            <w:tcBorders>
              <w:top w:val="nil"/>
              <w:left w:val="nil"/>
              <w:bottom w:val="nil"/>
              <w:right w:val="nil"/>
            </w:tcBorders>
            <w:tcMar>
              <w:top w:w="80" w:type="dxa"/>
              <w:left w:w="100" w:type="dxa"/>
              <w:bottom w:w="20" w:type="dxa"/>
              <w:right w:w="100" w:type="dxa"/>
            </w:tcMar>
          </w:tcPr>
          <w:p w14:paraId="1713E12D">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381E5F11">
            <w:pPr>
              <w:spacing w:before="0" w:after="0"/>
              <w:rPr>
                <w:rFonts w:eastAsia="Arial"/>
                <w:highlight w:val="none"/>
                <w:lang w:val="en-US"/>
              </w:rPr>
            </w:pPr>
            <w:r>
              <w:rPr>
                <w:rFonts w:eastAsia="Arial"/>
                <w:highlight w:val="none"/>
                <w:lang w:val="en-US"/>
              </w:rPr>
              <w:t>Years in the time period in which waste is disposed at the SWDS, extending from the first year in the time period (x = 1) to year y (x = y)</w:t>
            </w:r>
          </w:p>
        </w:tc>
      </w:tr>
      <w:tr w14:paraId="0CAD8B34">
        <w:trPr>
          <w:trHeight w:val="17" w:hRule="atLeast"/>
        </w:trPr>
        <w:tc>
          <w:tcPr>
            <w:tcW w:w="1418" w:type="dxa"/>
            <w:tcBorders>
              <w:top w:val="nil"/>
              <w:left w:val="nil"/>
              <w:bottom w:val="nil"/>
              <w:right w:val="nil"/>
            </w:tcBorders>
            <w:tcMar>
              <w:top w:w="80" w:type="dxa"/>
              <w:left w:w="100" w:type="dxa"/>
              <w:bottom w:w="20" w:type="dxa"/>
              <w:right w:w="100" w:type="dxa"/>
            </w:tcMar>
          </w:tcPr>
          <w:p w14:paraId="4DEFDD9F">
            <w:pPr>
              <w:spacing w:before="0" w:after="0"/>
              <w:jc w:val="right"/>
              <w:rPr>
                <w:rFonts w:eastAsia="Arial"/>
                <w:highlight w:val="none"/>
                <w:lang w:val="en-US"/>
              </w:rPr>
            </w:pPr>
            <w:r>
              <w:rPr>
                <w:rFonts w:eastAsia="Arial"/>
                <w:highlight w:val="none"/>
                <w:lang w:val="en-US"/>
              </w:rPr>
              <w:t>y</w:t>
            </w:r>
          </w:p>
        </w:tc>
        <w:tc>
          <w:tcPr>
            <w:tcW w:w="283" w:type="dxa"/>
            <w:tcBorders>
              <w:top w:val="nil"/>
              <w:left w:val="nil"/>
              <w:bottom w:val="nil"/>
              <w:right w:val="nil"/>
            </w:tcBorders>
            <w:tcMar>
              <w:top w:w="80" w:type="dxa"/>
              <w:left w:w="100" w:type="dxa"/>
              <w:bottom w:w="20" w:type="dxa"/>
              <w:right w:w="100" w:type="dxa"/>
            </w:tcMar>
          </w:tcPr>
          <w:p w14:paraId="7DCFABD7">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4CF34F6A">
            <w:pPr>
              <w:spacing w:before="0" w:after="0"/>
              <w:rPr>
                <w:rFonts w:eastAsia="Arial"/>
                <w:highlight w:val="none"/>
                <w:lang w:val="en-US"/>
              </w:rPr>
            </w:pPr>
            <w:r>
              <w:rPr>
                <w:rFonts w:eastAsia="Arial"/>
                <w:highlight w:val="none"/>
                <w:lang w:val="en-US"/>
              </w:rPr>
              <w:t>Year of the crediting period for which methane emissions are calculated (y is a consecutive period of 12 months)</w:t>
            </w:r>
          </w:p>
        </w:tc>
      </w:tr>
      <w:tr w14:paraId="3A567F54">
        <w:trPr>
          <w:trHeight w:val="17" w:hRule="atLeast"/>
        </w:trPr>
        <w:tc>
          <w:tcPr>
            <w:tcW w:w="1418" w:type="dxa"/>
            <w:tcBorders>
              <w:top w:val="nil"/>
              <w:left w:val="nil"/>
              <w:bottom w:val="nil"/>
              <w:right w:val="nil"/>
            </w:tcBorders>
            <w:tcMar>
              <w:top w:w="80" w:type="dxa"/>
              <w:left w:w="100" w:type="dxa"/>
              <w:bottom w:w="20" w:type="dxa"/>
              <w:right w:w="100" w:type="dxa"/>
            </w:tcMar>
          </w:tcPr>
          <w:p w14:paraId="2B055645">
            <w:pPr>
              <w:spacing w:before="0" w:after="0"/>
              <w:jc w:val="right"/>
              <w:rPr>
                <w:rFonts w:eastAsia="Arial"/>
                <w:highlight w:val="none"/>
                <w:vertAlign w:val="subscript"/>
                <w:lang w:val="en-US"/>
              </w:rPr>
            </w:pPr>
            <w:r>
              <w:rPr>
                <w:rFonts w:ascii="Cambria Math" w:hAnsi="Cambria Math" w:eastAsia="Times New Roman" w:cs="Cambria Math"/>
                <w:highlight w:val="none"/>
                <w:lang w:val="en-US"/>
              </w:rPr>
              <w:t>𝐷𝑂𝐶</w:t>
            </w:r>
            <w:r>
              <w:rPr>
                <w:rFonts w:ascii="Cambria Math" w:hAnsi="Cambria Math" w:eastAsia="Times New Roman" w:cs="Cambria Math"/>
                <w:highlight w:val="none"/>
                <w:vertAlign w:val="subscript"/>
                <w:lang w:val="en-US"/>
              </w:rPr>
              <w:t>𝑓</w:t>
            </w:r>
            <w:r>
              <w:rPr>
                <w:rFonts w:eastAsia="Arial"/>
                <w:highlight w:val="none"/>
                <w:vertAlign w:val="subscript"/>
                <w:lang w:val="en-US"/>
              </w:rPr>
              <w:t>,y</w:t>
            </w:r>
          </w:p>
        </w:tc>
        <w:tc>
          <w:tcPr>
            <w:tcW w:w="283" w:type="dxa"/>
            <w:tcBorders>
              <w:top w:val="nil"/>
              <w:left w:val="nil"/>
              <w:bottom w:val="nil"/>
              <w:right w:val="nil"/>
            </w:tcBorders>
            <w:tcMar>
              <w:top w:w="80" w:type="dxa"/>
              <w:left w:w="100" w:type="dxa"/>
              <w:bottom w:w="20" w:type="dxa"/>
              <w:right w:w="100" w:type="dxa"/>
            </w:tcMar>
          </w:tcPr>
          <w:p w14:paraId="5435ECD4">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798D374B">
            <w:pPr>
              <w:spacing w:before="0" w:after="0"/>
              <w:rPr>
                <w:rFonts w:eastAsia="Arial"/>
                <w:highlight w:val="none"/>
                <w:lang w:val="en-US"/>
              </w:rPr>
            </w:pPr>
            <w:r>
              <w:rPr>
                <w:rFonts w:eastAsia="Arial"/>
                <w:highlight w:val="none"/>
                <w:lang w:val="en-US"/>
              </w:rPr>
              <w:t>Fraction of degradable organic carbon (DOC) that decomposes under the specific conditions occurring in the SWDS for year y (weight fraction)</w:t>
            </w:r>
          </w:p>
        </w:tc>
      </w:tr>
      <w:tr w14:paraId="0BC6D14E">
        <w:trPr>
          <w:trHeight w:val="17" w:hRule="atLeast"/>
        </w:trPr>
        <w:tc>
          <w:tcPr>
            <w:tcW w:w="1418" w:type="dxa"/>
            <w:tcBorders>
              <w:top w:val="nil"/>
              <w:left w:val="nil"/>
              <w:bottom w:val="nil"/>
              <w:right w:val="nil"/>
            </w:tcBorders>
            <w:tcMar>
              <w:top w:w="80" w:type="dxa"/>
              <w:left w:w="100" w:type="dxa"/>
              <w:bottom w:w="20" w:type="dxa"/>
              <w:right w:w="100" w:type="dxa"/>
            </w:tcMar>
          </w:tcPr>
          <w:p w14:paraId="117B4606">
            <w:pPr>
              <w:spacing w:before="0" w:after="0"/>
              <w:jc w:val="right"/>
              <w:rPr>
                <w:rFonts w:eastAsia="Arial"/>
                <w:highlight w:val="none"/>
                <w:vertAlign w:val="subscript"/>
                <w:lang w:val="en-US"/>
              </w:rPr>
            </w:pPr>
            <w:r>
              <w:rPr>
                <w:rFonts w:ascii="Cambria Math" w:hAnsi="Cambria Math" w:eastAsia="Times New Roman" w:cs="Cambria Math"/>
                <w:highlight w:val="none"/>
                <w:lang w:val="en-US"/>
              </w:rPr>
              <w:t>𝑊</w:t>
            </w:r>
            <w:r>
              <w:rPr>
                <w:rFonts w:ascii="Cambria Math" w:hAnsi="Cambria Math" w:eastAsia="Times New Roman" w:cs="Cambria Math"/>
                <w:highlight w:val="none"/>
                <w:vertAlign w:val="subscript"/>
                <w:lang w:val="en-US"/>
              </w:rPr>
              <w:t>𝑗</w:t>
            </w:r>
            <w:r>
              <w:rPr>
                <w:rFonts w:eastAsia="Arial"/>
                <w:highlight w:val="none"/>
                <w:vertAlign w:val="subscript"/>
                <w:lang w:val="en-US"/>
              </w:rPr>
              <w:t>,x</w:t>
            </w:r>
          </w:p>
        </w:tc>
        <w:tc>
          <w:tcPr>
            <w:tcW w:w="283" w:type="dxa"/>
            <w:tcBorders>
              <w:top w:val="nil"/>
              <w:left w:val="nil"/>
              <w:bottom w:val="nil"/>
              <w:right w:val="nil"/>
            </w:tcBorders>
            <w:tcMar>
              <w:top w:w="80" w:type="dxa"/>
              <w:left w:w="100" w:type="dxa"/>
              <w:bottom w:w="20" w:type="dxa"/>
              <w:right w:w="100" w:type="dxa"/>
            </w:tcMar>
          </w:tcPr>
          <w:p w14:paraId="188B2AD2">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15631A65">
            <w:pPr>
              <w:spacing w:before="0" w:after="0"/>
              <w:rPr>
                <w:rFonts w:eastAsia="Arial"/>
                <w:highlight w:val="none"/>
                <w:lang w:val="en-US"/>
              </w:rPr>
            </w:pPr>
            <w:r>
              <w:rPr>
                <w:rFonts w:eastAsia="Arial"/>
                <w:highlight w:val="none"/>
                <w:lang w:val="en-US"/>
              </w:rPr>
              <w:t>Amount of solid waste type j disposed or prevented from disposal in the SWDS in the year x (t)</w:t>
            </w:r>
          </w:p>
        </w:tc>
      </w:tr>
      <w:tr w14:paraId="6C6B1713">
        <w:trPr>
          <w:trHeight w:val="17" w:hRule="atLeast"/>
        </w:trPr>
        <w:tc>
          <w:tcPr>
            <w:tcW w:w="1418" w:type="dxa"/>
            <w:tcBorders>
              <w:top w:val="nil"/>
              <w:left w:val="nil"/>
              <w:bottom w:val="nil"/>
              <w:right w:val="nil"/>
            </w:tcBorders>
            <w:tcMar>
              <w:top w:w="80" w:type="dxa"/>
              <w:left w:w="100" w:type="dxa"/>
              <w:bottom w:w="20" w:type="dxa"/>
              <w:right w:w="100" w:type="dxa"/>
            </w:tcMar>
          </w:tcPr>
          <w:p w14:paraId="1908E124">
            <w:pPr>
              <w:spacing w:before="0" w:after="0"/>
              <w:jc w:val="right"/>
              <w:rPr>
                <w:rFonts w:eastAsia="Arial"/>
                <w:highlight w:val="none"/>
                <w:vertAlign w:val="subscript"/>
                <w:lang w:val="en-US"/>
              </w:rPr>
            </w:pPr>
            <w:r>
              <w:rPr>
                <w:rFonts w:ascii="Cambria Math" w:hAnsi="Cambria Math" w:eastAsia="Times New Roman" w:cs="Cambria Math"/>
                <w:highlight w:val="none"/>
                <w:lang w:val="en-US"/>
              </w:rPr>
              <w:t>𝜑</w:t>
            </w:r>
            <w:r>
              <w:rPr>
                <w:rFonts w:eastAsia="Arial"/>
                <w:highlight w:val="none"/>
                <w:vertAlign w:val="subscript"/>
                <w:lang w:val="en-US"/>
              </w:rPr>
              <w:t>y</w:t>
            </w:r>
          </w:p>
        </w:tc>
        <w:tc>
          <w:tcPr>
            <w:tcW w:w="283" w:type="dxa"/>
            <w:tcBorders>
              <w:top w:val="nil"/>
              <w:left w:val="nil"/>
              <w:bottom w:val="nil"/>
              <w:right w:val="nil"/>
            </w:tcBorders>
            <w:tcMar>
              <w:top w:w="80" w:type="dxa"/>
              <w:left w:w="100" w:type="dxa"/>
              <w:bottom w:w="20" w:type="dxa"/>
              <w:right w:w="100" w:type="dxa"/>
            </w:tcMar>
          </w:tcPr>
          <w:p w14:paraId="78CF3A10">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464DBCC9">
            <w:pPr>
              <w:spacing w:before="0" w:after="0"/>
              <w:rPr>
                <w:rFonts w:eastAsia="Arial"/>
                <w:highlight w:val="none"/>
                <w:lang w:val="en-US"/>
              </w:rPr>
            </w:pPr>
            <w:r>
              <w:rPr>
                <w:rFonts w:eastAsia="Arial"/>
                <w:highlight w:val="none"/>
                <w:lang w:val="en-US"/>
              </w:rPr>
              <w:t>Model correction factor to account for model uncertainties for year y.</w:t>
            </w:r>
          </w:p>
        </w:tc>
      </w:tr>
      <w:tr w14:paraId="42DC27D5">
        <w:trPr>
          <w:trHeight w:val="17" w:hRule="atLeast"/>
        </w:trPr>
        <w:tc>
          <w:tcPr>
            <w:tcW w:w="1418" w:type="dxa"/>
            <w:tcBorders>
              <w:top w:val="nil"/>
              <w:left w:val="nil"/>
              <w:bottom w:val="nil"/>
              <w:right w:val="nil"/>
            </w:tcBorders>
            <w:tcMar>
              <w:top w:w="80" w:type="dxa"/>
              <w:left w:w="100" w:type="dxa"/>
              <w:bottom w:w="20" w:type="dxa"/>
              <w:right w:w="100" w:type="dxa"/>
            </w:tcMar>
          </w:tcPr>
          <w:p w14:paraId="55C1750A">
            <w:pPr>
              <w:spacing w:before="0" w:after="0"/>
              <w:jc w:val="right"/>
              <w:rPr>
                <w:rFonts w:eastAsia="Arial"/>
                <w:highlight w:val="none"/>
                <w:vertAlign w:val="subscript"/>
                <w:lang w:val="en-US"/>
              </w:rPr>
            </w:pPr>
            <w:r>
              <w:rPr>
                <w:rFonts w:ascii="Cambria Math" w:hAnsi="Cambria Math" w:eastAsia="Times New Roman" w:cs="Cambria Math"/>
                <w:highlight w:val="none"/>
                <w:lang w:val="en-US"/>
              </w:rPr>
              <w:t>𝑓</w:t>
            </w:r>
            <w:r>
              <w:rPr>
                <w:rFonts w:eastAsia="Arial"/>
                <w:highlight w:val="none"/>
                <w:vertAlign w:val="subscript"/>
                <w:lang w:val="en-US"/>
              </w:rPr>
              <w:t>y</w:t>
            </w:r>
          </w:p>
        </w:tc>
        <w:tc>
          <w:tcPr>
            <w:tcW w:w="283" w:type="dxa"/>
            <w:tcBorders>
              <w:top w:val="nil"/>
              <w:left w:val="nil"/>
              <w:bottom w:val="nil"/>
              <w:right w:val="nil"/>
            </w:tcBorders>
            <w:tcMar>
              <w:top w:w="80" w:type="dxa"/>
              <w:left w:w="100" w:type="dxa"/>
              <w:bottom w:w="20" w:type="dxa"/>
              <w:right w:w="100" w:type="dxa"/>
            </w:tcMar>
          </w:tcPr>
          <w:p w14:paraId="5D0D50DC">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38DE541A">
            <w:pPr>
              <w:spacing w:before="0" w:after="0"/>
              <w:rPr>
                <w:rFonts w:eastAsia="Arial"/>
                <w:highlight w:val="none"/>
                <w:lang w:val="en-US"/>
              </w:rPr>
            </w:pPr>
            <w:r>
              <w:rPr>
                <w:rFonts w:eastAsia="Arial"/>
                <w:highlight w:val="none"/>
                <w:lang w:val="en-US"/>
              </w:rPr>
              <w:t>Fraction of methane captured at the SWDS and flared, combusted or used in another manner that prevents the emissions of methane to the atmosphere in year y</w:t>
            </w:r>
          </w:p>
        </w:tc>
      </w:tr>
      <w:tr w14:paraId="21A4EF62">
        <w:trPr>
          <w:trHeight w:val="17" w:hRule="atLeast"/>
        </w:trPr>
        <w:tc>
          <w:tcPr>
            <w:tcW w:w="1418" w:type="dxa"/>
            <w:tcBorders>
              <w:top w:val="nil"/>
              <w:left w:val="nil"/>
              <w:bottom w:val="nil"/>
              <w:right w:val="nil"/>
            </w:tcBorders>
            <w:tcMar>
              <w:top w:w="80" w:type="dxa"/>
              <w:left w:w="100" w:type="dxa"/>
              <w:bottom w:w="20" w:type="dxa"/>
              <w:right w:w="100" w:type="dxa"/>
            </w:tcMar>
          </w:tcPr>
          <w:p w14:paraId="612D027C">
            <w:pPr>
              <w:spacing w:before="0" w:after="0"/>
              <w:jc w:val="right"/>
              <w:rPr>
                <w:rFonts w:eastAsia="Arial"/>
                <w:highlight w:val="none"/>
                <w:vertAlign w:val="subscript"/>
                <w:lang w:val="en-US"/>
              </w:rPr>
            </w:pPr>
            <w:r>
              <w:rPr>
                <w:rFonts w:ascii="Cambria Math" w:hAnsi="Cambria Math" w:eastAsia="Times New Roman" w:cs="Cambria Math"/>
                <w:highlight w:val="none"/>
                <w:lang w:val="en-US"/>
              </w:rPr>
              <w:t>𝐺𝑊𝑃</w:t>
            </w:r>
            <w:r>
              <w:rPr>
                <w:rFonts w:ascii="Cambria Math" w:hAnsi="Cambria Math" w:eastAsia="Times New Roman" w:cs="Cambria Math"/>
                <w:highlight w:val="none"/>
                <w:vertAlign w:val="subscript"/>
                <w:lang w:val="en-US"/>
              </w:rPr>
              <w:t>𝐶𝐻</w:t>
            </w:r>
            <w:r>
              <w:rPr>
                <w:rFonts w:eastAsia="Arial"/>
                <w:highlight w:val="none"/>
                <w:vertAlign w:val="subscript"/>
                <w:lang w:val="en-US"/>
              </w:rPr>
              <w:t>4</w:t>
            </w:r>
          </w:p>
        </w:tc>
        <w:tc>
          <w:tcPr>
            <w:tcW w:w="283" w:type="dxa"/>
            <w:tcBorders>
              <w:top w:val="nil"/>
              <w:left w:val="nil"/>
              <w:bottom w:val="nil"/>
              <w:right w:val="nil"/>
            </w:tcBorders>
            <w:tcMar>
              <w:top w:w="80" w:type="dxa"/>
              <w:left w:w="100" w:type="dxa"/>
              <w:bottom w:w="20" w:type="dxa"/>
              <w:right w:w="100" w:type="dxa"/>
            </w:tcMar>
          </w:tcPr>
          <w:p w14:paraId="02E8C16A">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7A62261B">
            <w:pPr>
              <w:spacing w:before="0" w:after="0"/>
              <w:rPr>
                <w:rFonts w:eastAsia="Arial"/>
                <w:highlight w:val="none"/>
                <w:lang w:val="en-US"/>
              </w:rPr>
            </w:pPr>
            <w:r>
              <w:rPr>
                <w:rFonts w:eastAsia="Arial"/>
                <w:highlight w:val="none"/>
                <w:lang w:val="en-US"/>
              </w:rPr>
              <w:t>Global Warming Potential of methane</w:t>
            </w:r>
          </w:p>
        </w:tc>
      </w:tr>
      <w:tr w14:paraId="63802564">
        <w:trPr>
          <w:trHeight w:val="17" w:hRule="atLeast"/>
        </w:trPr>
        <w:tc>
          <w:tcPr>
            <w:tcW w:w="1418" w:type="dxa"/>
            <w:tcBorders>
              <w:top w:val="nil"/>
              <w:left w:val="nil"/>
              <w:bottom w:val="nil"/>
              <w:right w:val="nil"/>
            </w:tcBorders>
            <w:tcMar>
              <w:top w:w="80" w:type="dxa"/>
              <w:left w:w="100" w:type="dxa"/>
              <w:bottom w:w="20" w:type="dxa"/>
              <w:right w:w="100" w:type="dxa"/>
            </w:tcMar>
          </w:tcPr>
          <w:p w14:paraId="596430D0">
            <w:pPr>
              <w:spacing w:before="0" w:after="0"/>
              <w:jc w:val="right"/>
              <w:rPr>
                <w:rFonts w:eastAsia="Times New Roman"/>
                <w:highlight w:val="none"/>
                <w:lang w:val="en-US"/>
              </w:rPr>
            </w:pPr>
            <w:r>
              <w:rPr>
                <w:rFonts w:ascii="Cambria Math" w:hAnsi="Cambria Math" w:eastAsia="Times New Roman" w:cs="Cambria Math"/>
                <w:highlight w:val="none"/>
                <w:lang w:val="en-US"/>
              </w:rPr>
              <w:t>𝑂𝑋</w:t>
            </w:r>
          </w:p>
        </w:tc>
        <w:tc>
          <w:tcPr>
            <w:tcW w:w="283" w:type="dxa"/>
            <w:tcBorders>
              <w:top w:val="nil"/>
              <w:left w:val="nil"/>
              <w:bottom w:val="nil"/>
              <w:right w:val="nil"/>
            </w:tcBorders>
            <w:tcMar>
              <w:top w:w="80" w:type="dxa"/>
              <w:left w:w="100" w:type="dxa"/>
              <w:bottom w:w="20" w:type="dxa"/>
              <w:right w:w="100" w:type="dxa"/>
            </w:tcMar>
          </w:tcPr>
          <w:p w14:paraId="6DC33297">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334133A0">
            <w:pPr>
              <w:spacing w:before="0" w:after="0"/>
              <w:rPr>
                <w:rFonts w:eastAsia="Arial"/>
                <w:highlight w:val="none"/>
                <w:lang w:val="en-US"/>
              </w:rPr>
            </w:pPr>
            <w:r>
              <w:rPr>
                <w:rFonts w:eastAsia="Arial"/>
                <w:highlight w:val="none"/>
                <w:lang w:val="en-US"/>
              </w:rPr>
              <w:t>Oxidation factor (reflecting the amount of methane from SWDS that is oxidized in the soil or other material covering the waste)</w:t>
            </w:r>
          </w:p>
        </w:tc>
      </w:tr>
      <w:tr w14:paraId="10ACD2F9">
        <w:trPr>
          <w:trHeight w:val="17" w:hRule="atLeast"/>
        </w:trPr>
        <w:tc>
          <w:tcPr>
            <w:tcW w:w="1418" w:type="dxa"/>
            <w:tcBorders>
              <w:top w:val="nil"/>
              <w:left w:val="nil"/>
              <w:bottom w:val="nil"/>
              <w:right w:val="nil"/>
            </w:tcBorders>
            <w:tcMar>
              <w:top w:w="80" w:type="dxa"/>
              <w:left w:w="100" w:type="dxa"/>
              <w:bottom w:w="20" w:type="dxa"/>
              <w:right w:w="100" w:type="dxa"/>
            </w:tcMar>
          </w:tcPr>
          <w:p w14:paraId="420664B3">
            <w:pPr>
              <w:spacing w:before="0" w:after="0"/>
              <w:jc w:val="right"/>
              <w:rPr>
                <w:rFonts w:eastAsia="Arial"/>
                <w:highlight w:val="none"/>
                <w:lang w:val="en-US"/>
              </w:rPr>
            </w:pPr>
            <w:r>
              <w:rPr>
                <w:rFonts w:eastAsia="Arial"/>
                <w:highlight w:val="none"/>
                <w:lang w:val="en-US"/>
              </w:rPr>
              <w:t>F</w:t>
            </w:r>
          </w:p>
        </w:tc>
        <w:tc>
          <w:tcPr>
            <w:tcW w:w="283" w:type="dxa"/>
            <w:tcBorders>
              <w:top w:val="nil"/>
              <w:left w:val="nil"/>
              <w:bottom w:val="nil"/>
              <w:right w:val="nil"/>
            </w:tcBorders>
            <w:tcMar>
              <w:top w:w="80" w:type="dxa"/>
              <w:left w:w="100" w:type="dxa"/>
              <w:bottom w:w="20" w:type="dxa"/>
              <w:right w:w="100" w:type="dxa"/>
            </w:tcMar>
          </w:tcPr>
          <w:p w14:paraId="328052E0">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031B8F20">
            <w:pPr>
              <w:spacing w:before="0" w:after="0"/>
              <w:rPr>
                <w:rFonts w:eastAsia="Arial"/>
                <w:highlight w:val="none"/>
                <w:lang w:val="en-US"/>
              </w:rPr>
            </w:pPr>
            <w:r>
              <w:rPr>
                <w:rFonts w:eastAsia="Arial"/>
                <w:highlight w:val="none"/>
                <w:lang w:val="en-US"/>
              </w:rPr>
              <w:t>Fraction of methane in the SWDS gas (volume fraction)</w:t>
            </w:r>
          </w:p>
        </w:tc>
      </w:tr>
      <w:tr w14:paraId="74EEF63B">
        <w:trPr>
          <w:trHeight w:val="17" w:hRule="atLeast"/>
        </w:trPr>
        <w:tc>
          <w:tcPr>
            <w:tcW w:w="1418" w:type="dxa"/>
            <w:tcBorders>
              <w:top w:val="nil"/>
              <w:left w:val="nil"/>
              <w:bottom w:val="nil"/>
              <w:right w:val="nil"/>
            </w:tcBorders>
            <w:tcMar>
              <w:top w:w="80" w:type="dxa"/>
              <w:left w:w="100" w:type="dxa"/>
              <w:bottom w:w="20" w:type="dxa"/>
              <w:right w:w="100" w:type="dxa"/>
            </w:tcMar>
          </w:tcPr>
          <w:p w14:paraId="6CBB5D4F">
            <w:pPr>
              <w:spacing w:before="0" w:after="0"/>
              <w:jc w:val="right"/>
              <w:rPr>
                <w:rFonts w:eastAsia="Times New Roman"/>
                <w:highlight w:val="none"/>
                <w:vertAlign w:val="subscript"/>
                <w:lang w:val="en-US"/>
              </w:rPr>
            </w:pPr>
            <w:r>
              <w:rPr>
                <w:rFonts w:eastAsia="Times New Roman"/>
                <w:highlight w:val="none"/>
                <w:lang w:val="en-US"/>
              </w:rPr>
              <w:t>MCF</w:t>
            </w:r>
            <w:r>
              <w:rPr>
                <w:rFonts w:eastAsia="Times New Roman"/>
                <w:highlight w:val="none"/>
                <w:vertAlign w:val="subscript"/>
                <w:lang w:val="en-US"/>
              </w:rPr>
              <w:t>y</w:t>
            </w:r>
          </w:p>
        </w:tc>
        <w:tc>
          <w:tcPr>
            <w:tcW w:w="283" w:type="dxa"/>
            <w:tcBorders>
              <w:top w:val="nil"/>
              <w:left w:val="nil"/>
              <w:bottom w:val="nil"/>
              <w:right w:val="nil"/>
            </w:tcBorders>
            <w:tcMar>
              <w:top w:w="80" w:type="dxa"/>
              <w:left w:w="100" w:type="dxa"/>
              <w:bottom w:w="20" w:type="dxa"/>
              <w:right w:w="100" w:type="dxa"/>
            </w:tcMar>
          </w:tcPr>
          <w:p w14:paraId="0DA82A79">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2E953B01">
            <w:pPr>
              <w:spacing w:before="0" w:after="0"/>
              <w:rPr>
                <w:rFonts w:eastAsia="Arial"/>
                <w:highlight w:val="none"/>
                <w:lang w:val="en-US"/>
              </w:rPr>
            </w:pPr>
            <w:r>
              <w:rPr>
                <w:rFonts w:eastAsia="Arial"/>
                <w:highlight w:val="none"/>
                <w:lang w:val="en-US"/>
              </w:rPr>
              <w:t>Methane correction factor for year y</w:t>
            </w:r>
          </w:p>
        </w:tc>
      </w:tr>
      <w:tr w14:paraId="2A9C6189">
        <w:trPr>
          <w:trHeight w:val="17" w:hRule="atLeast"/>
        </w:trPr>
        <w:tc>
          <w:tcPr>
            <w:tcW w:w="1418" w:type="dxa"/>
            <w:tcBorders>
              <w:top w:val="nil"/>
              <w:left w:val="nil"/>
              <w:bottom w:val="nil"/>
              <w:right w:val="nil"/>
            </w:tcBorders>
            <w:tcMar>
              <w:top w:w="80" w:type="dxa"/>
              <w:left w:w="100" w:type="dxa"/>
              <w:bottom w:w="20" w:type="dxa"/>
              <w:right w:w="100" w:type="dxa"/>
            </w:tcMar>
          </w:tcPr>
          <w:p w14:paraId="37D9D1C9">
            <w:pPr>
              <w:spacing w:before="0" w:after="0"/>
              <w:jc w:val="right"/>
              <w:rPr>
                <w:rFonts w:eastAsia="Arial"/>
                <w:highlight w:val="none"/>
                <w:vertAlign w:val="subscript"/>
                <w:lang w:val="en-US"/>
              </w:rPr>
            </w:pPr>
            <w:r>
              <w:rPr>
                <w:rFonts w:ascii="Cambria Math" w:hAnsi="Cambria Math" w:eastAsia="Times New Roman" w:cs="Cambria Math"/>
                <w:highlight w:val="none"/>
                <w:lang w:val="en-US"/>
              </w:rPr>
              <w:t>𝐷𝑂𝐶</w:t>
            </w:r>
            <w:r>
              <w:rPr>
                <w:rFonts w:eastAsia="Arial"/>
                <w:highlight w:val="none"/>
                <w:vertAlign w:val="subscript"/>
                <w:lang w:val="en-US"/>
              </w:rPr>
              <w:t>j</w:t>
            </w:r>
          </w:p>
        </w:tc>
        <w:tc>
          <w:tcPr>
            <w:tcW w:w="283" w:type="dxa"/>
            <w:tcBorders>
              <w:top w:val="nil"/>
              <w:left w:val="nil"/>
              <w:bottom w:val="nil"/>
              <w:right w:val="nil"/>
            </w:tcBorders>
            <w:tcMar>
              <w:top w:w="80" w:type="dxa"/>
              <w:left w:w="100" w:type="dxa"/>
              <w:bottom w:w="20" w:type="dxa"/>
              <w:right w:w="100" w:type="dxa"/>
            </w:tcMar>
          </w:tcPr>
          <w:p w14:paraId="5EE5EE84">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5A2803A2">
            <w:pPr>
              <w:spacing w:before="0" w:after="0"/>
              <w:rPr>
                <w:rFonts w:eastAsia="Arial"/>
                <w:highlight w:val="none"/>
                <w:lang w:val="en-US"/>
              </w:rPr>
            </w:pPr>
            <w:r>
              <w:rPr>
                <w:rFonts w:eastAsia="Arial"/>
                <w:highlight w:val="none"/>
                <w:lang w:val="en-US"/>
              </w:rPr>
              <w:t>Fraction of degradable organic carbon in the waste type j (weight fraction)</w:t>
            </w:r>
          </w:p>
        </w:tc>
      </w:tr>
      <w:tr w14:paraId="69D5804B">
        <w:trPr>
          <w:trHeight w:val="17" w:hRule="atLeast"/>
        </w:trPr>
        <w:tc>
          <w:tcPr>
            <w:tcW w:w="1418" w:type="dxa"/>
            <w:tcBorders>
              <w:top w:val="nil"/>
              <w:left w:val="nil"/>
              <w:bottom w:val="nil"/>
              <w:right w:val="nil"/>
            </w:tcBorders>
            <w:tcMar>
              <w:top w:w="80" w:type="dxa"/>
              <w:left w:w="100" w:type="dxa"/>
              <w:bottom w:w="20" w:type="dxa"/>
              <w:right w:w="100" w:type="dxa"/>
            </w:tcMar>
          </w:tcPr>
          <w:p w14:paraId="01B2548C">
            <w:pPr>
              <w:spacing w:before="0" w:after="0"/>
              <w:jc w:val="right"/>
              <w:rPr>
                <w:rFonts w:eastAsia="Arial"/>
                <w:highlight w:val="none"/>
                <w:lang w:val="en-US"/>
              </w:rPr>
            </w:pPr>
            <w:r>
              <w:rPr>
                <w:rFonts w:eastAsia="Arial"/>
                <w:highlight w:val="none"/>
                <w:lang w:val="en-US"/>
              </w:rPr>
              <w:t>k</w:t>
            </w:r>
          </w:p>
        </w:tc>
        <w:tc>
          <w:tcPr>
            <w:tcW w:w="283" w:type="dxa"/>
            <w:tcBorders>
              <w:top w:val="nil"/>
              <w:left w:val="nil"/>
              <w:bottom w:val="nil"/>
              <w:right w:val="nil"/>
            </w:tcBorders>
            <w:tcMar>
              <w:top w:w="80" w:type="dxa"/>
              <w:left w:w="100" w:type="dxa"/>
              <w:bottom w:w="20" w:type="dxa"/>
              <w:right w:w="100" w:type="dxa"/>
            </w:tcMar>
          </w:tcPr>
          <w:p w14:paraId="4E23E7A8">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495D9DE3">
            <w:pPr>
              <w:spacing w:before="0" w:after="0"/>
              <w:rPr>
                <w:rFonts w:eastAsia="Arial"/>
                <w:highlight w:val="none"/>
                <w:lang w:val="en-US"/>
              </w:rPr>
            </w:pPr>
            <w:r>
              <w:rPr>
                <w:rFonts w:eastAsia="Arial"/>
                <w:highlight w:val="none"/>
                <w:lang w:val="en-US"/>
              </w:rPr>
              <w:t>Decay rate for the waste type j (1 / yr)</w:t>
            </w:r>
          </w:p>
        </w:tc>
      </w:tr>
      <w:tr w14:paraId="51F25A4E">
        <w:trPr>
          <w:trHeight w:val="17" w:hRule="atLeast"/>
        </w:trPr>
        <w:tc>
          <w:tcPr>
            <w:tcW w:w="1418" w:type="dxa"/>
            <w:tcBorders>
              <w:top w:val="nil"/>
              <w:left w:val="nil"/>
              <w:bottom w:val="nil"/>
              <w:right w:val="nil"/>
            </w:tcBorders>
            <w:tcMar>
              <w:top w:w="80" w:type="dxa"/>
              <w:left w:w="100" w:type="dxa"/>
              <w:bottom w:w="20" w:type="dxa"/>
              <w:right w:w="100" w:type="dxa"/>
            </w:tcMar>
          </w:tcPr>
          <w:p w14:paraId="6A41F0FA">
            <w:pPr>
              <w:spacing w:before="0" w:after="0"/>
              <w:jc w:val="right"/>
              <w:rPr>
                <w:rFonts w:eastAsia="Arial"/>
                <w:highlight w:val="none"/>
                <w:lang w:val="en-US"/>
              </w:rPr>
            </w:pPr>
            <w:r>
              <w:rPr>
                <w:rFonts w:eastAsia="Arial"/>
                <w:highlight w:val="none"/>
                <w:lang w:val="en-US"/>
              </w:rPr>
              <w:t>j</w:t>
            </w:r>
          </w:p>
        </w:tc>
        <w:tc>
          <w:tcPr>
            <w:tcW w:w="283" w:type="dxa"/>
            <w:tcBorders>
              <w:top w:val="nil"/>
              <w:left w:val="nil"/>
              <w:bottom w:val="nil"/>
              <w:right w:val="nil"/>
            </w:tcBorders>
            <w:tcMar>
              <w:top w:w="80" w:type="dxa"/>
              <w:left w:w="100" w:type="dxa"/>
              <w:bottom w:w="20" w:type="dxa"/>
              <w:right w:w="100" w:type="dxa"/>
            </w:tcMar>
          </w:tcPr>
          <w:p w14:paraId="7E6BE7E7">
            <w:pPr>
              <w:spacing w:before="0" w:after="0"/>
              <w:rPr>
                <w:rFonts w:eastAsia="Arial"/>
                <w:highlight w:val="none"/>
                <w:lang w:val="en-US"/>
              </w:rPr>
            </w:pPr>
            <w:r>
              <w:rPr>
                <w:rFonts w:eastAsia="Arial"/>
                <w:highlight w:val="none"/>
                <w:lang w:val="en-US"/>
              </w:rPr>
              <w:t>=</w:t>
            </w:r>
          </w:p>
        </w:tc>
        <w:tc>
          <w:tcPr>
            <w:tcW w:w="6663" w:type="dxa"/>
            <w:tcBorders>
              <w:top w:val="nil"/>
              <w:left w:val="nil"/>
              <w:bottom w:val="nil"/>
              <w:right w:val="nil"/>
            </w:tcBorders>
            <w:tcMar>
              <w:top w:w="80" w:type="dxa"/>
              <w:left w:w="100" w:type="dxa"/>
              <w:bottom w:w="20" w:type="dxa"/>
              <w:right w:w="100" w:type="dxa"/>
            </w:tcMar>
          </w:tcPr>
          <w:p w14:paraId="5BDE19F8">
            <w:pPr>
              <w:spacing w:before="0" w:after="0"/>
              <w:rPr>
                <w:rFonts w:eastAsia="Arial"/>
                <w:highlight w:val="none"/>
                <w:lang w:val="en-US"/>
              </w:rPr>
            </w:pPr>
            <w:r>
              <w:rPr>
                <w:rFonts w:eastAsia="Arial"/>
                <w:highlight w:val="none"/>
                <w:lang w:val="en-US"/>
              </w:rPr>
              <w:t>Type of residual waste or types of waste in the MSW</w:t>
            </w:r>
          </w:p>
        </w:tc>
      </w:tr>
    </w:tbl>
    <w:p w14:paraId="1F0D4A8F">
      <w:pPr>
        <w:spacing w:after="0"/>
        <w:rPr>
          <w:rFonts w:eastAsia="Arial"/>
          <w:b/>
          <w:bCs/>
          <w:highlight w:val="none"/>
          <w:lang w:val="en-US"/>
        </w:rPr>
      </w:pPr>
    </w:p>
    <w:p w14:paraId="00EF7B4F">
      <w:pPr>
        <w:rPr>
          <w:rFonts w:eastAsia="Arial"/>
          <w:b/>
          <w:bCs/>
          <w:highlight w:val="none"/>
          <w:lang w:val="en-US"/>
        </w:rPr>
      </w:pPr>
      <w:r>
        <w:rPr>
          <w:rFonts w:eastAsia="Arial"/>
          <w:b/>
          <w:bCs/>
          <w:highlight w:val="none"/>
          <w:lang w:val="en-US"/>
        </w:rPr>
        <w:t>Model correction factor to account for model uncertainties for year y (</w:t>
      </w:r>
      <w:r>
        <w:rPr>
          <w:rFonts w:ascii="Cambria Math" w:hAnsi="Cambria Math" w:eastAsia="Arial" w:cs="Cambria Math"/>
          <w:b/>
          <w:bCs/>
          <w:highlight w:val="none"/>
          <w:lang w:val="en-US"/>
        </w:rPr>
        <w:t>𝜑</w:t>
      </w:r>
      <w:r>
        <w:rPr>
          <w:rFonts w:eastAsia="Arial"/>
          <w:b/>
          <w:bCs/>
          <w:highlight w:val="none"/>
          <w:vertAlign w:val="subscript"/>
          <w:lang w:val="en-US"/>
        </w:rPr>
        <w:t>y</w:t>
      </w:r>
      <w:r>
        <w:rPr>
          <w:rFonts w:eastAsia="Arial"/>
          <w:b/>
          <w:bCs/>
          <w:highlight w:val="none"/>
          <w:lang w:val="en-US"/>
        </w:rPr>
        <w:t>)</w:t>
      </w:r>
    </w:p>
    <w:p w14:paraId="6C68DD3C">
      <w:pPr>
        <w:rPr>
          <w:rFonts w:eastAsia="Arial"/>
          <w:b w:val="0"/>
          <w:bCs w:val="0"/>
          <w:highlight w:val="none"/>
          <w:lang w:val="en-US"/>
        </w:rPr>
      </w:pPr>
      <w:r>
        <w:rPr>
          <w:rFonts w:eastAsia="Arial"/>
          <w:b w:val="0"/>
          <w:bCs w:val="0"/>
          <w:highlight w:val="none"/>
          <w:lang w:val="en-US"/>
        </w:rPr>
        <w:t xml:space="preserve">The default value is applied for application B and in humid/wet conditions, so </w:t>
      </w:r>
      <w:r>
        <w:rPr>
          <w:rFonts w:ascii="Cambria Math" w:hAnsi="Cambria Math" w:eastAsia="Arial" w:cs="Cambria Math"/>
          <w:b w:val="0"/>
          <w:bCs w:val="0"/>
          <w:highlight w:val="none"/>
          <w:lang w:val="en-US"/>
        </w:rPr>
        <w:t>𝜑</w:t>
      </w:r>
      <w:r>
        <w:rPr>
          <w:rFonts w:eastAsia="Arial"/>
          <w:b w:val="0"/>
          <w:bCs w:val="0"/>
          <w:highlight w:val="none"/>
          <w:vertAlign w:val="subscript"/>
          <w:lang w:val="en-US"/>
        </w:rPr>
        <w:t xml:space="preserve">y </w:t>
      </w:r>
      <w:r>
        <w:rPr>
          <w:rFonts w:eastAsia="Arial"/>
          <w:b w:val="0"/>
          <w:bCs w:val="0"/>
          <w:highlight w:val="none"/>
          <w:lang w:val="en-US"/>
        </w:rPr>
        <w:t>= 0,85.</w:t>
      </w:r>
    </w:p>
    <w:p w14:paraId="4C49846C">
      <w:pPr>
        <w:rPr>
          <w:rFonts w:eastAsia="Arial"/>
          <w:b/>
          <w:bCs/>
          <w:highlight w:val="none"/>
          <w:lang w:val="en-US"/>
        </w:rPr>
      </w:pPr>
      <w:r>
        <w:rPr>
          <w:rFonts w:eastAsia="Arial"/>
          <w:b/>
          <w:bCs/>
          <w:highlight w:val="none"/>
          <w:lang w:val="en-US"/>
        </w:rPr>
        <w:t>Fraction of methane captured at the SWDS and flared, combusted or used in another manner that prevents the emissions of methane to the atmosphere in year y (</w:t>
      </w:r>
      <w:r>
        <w:rPr>
          <w:rFonts w:ascii="Cambria Math" w:hAnsi="Cambria Math" w:eastAsia="Arial" w:cs="Cambria Math"/>
          <w:b/>
          <w:bCs/>
          <w:highlight w:val="none"/>
          <w:lang w:val="en-US"/>
        </w:rPr>
        <w:t>𝑓</w:t>
      </w:r>
      <w:r>
        <w:rPr>
          <w:rFonts w:eastAsia="Arial"/>
          <w:b/>
          <w:bCs/>
          <w:highlight w:val="none"/>
          <w:lang w:val="en-US"/>
        </w:rPr>
        <w:t>y)</w:t>
      </w:r>
    </w:p>
    <w:p w14:paraId="651BF5CD">
      <w:pPr>
        <w:rPr>
          <w:rFonts w:eastAsia="Arial"/>
          <w:b w:val="0"/>
          <w:bCs w:val="0"/>
          <w:highlight w:val="none"/>
          <w:lang w:val="en-US"/>
        </w:rPr>
      </w:pPr>
      <w:r>
        <w:rPr>
          <w:rFonts w:eastAsia="Arial"/>
          <w:b w:val="0"/>
          <w:bCs w:val="0"/>
          <w:highlight w:val="none"/>
          <w:lang w:val="en-US"/>
        </w:rPr>
        <w:t xml:space="preserve">For application B the monitoring annually: Select the maximum value from the following: (a) contract or regulation requirements specifying the amount of methane that must be destroyed/used (if available) and (b) historic data on the amount captured. </w:t>
      </w:r>
      <w:r>
        <w:rPr>
          <w:rFonts w:ascii="Cambria Math" w:hAnsi="Cambria Math" w:eastAsia="Arial" w:cs="Cambria Math"/>
          <w:b w:val="0"/>
          <w:bCs w:val="0"/>
          <w:highlight w:val="none"/>
          <w:lang w:val="en-US"/>
        </w:rPr>
        <w:t>𝑓</w:t>
      </w:r>
      <w:r>
        <w:rPr>
          <w:rFonts w:eastAsia="Arial"/>
          <w:b w:val="0"/>
          <w:bCs w:val="0"/>
          <w:highlight w:val="none"/>
          <w:lang w:val="en-US"/>
        </w:rPr>
        <w:t>y = 0 (assumed)</w:t>
      </w:r>
    </w:p>
    <w:p w14:paraId="1CC1F286">
      <w:pPr>
        <w:rPr>
          <w:rFonts w:eastAsia="Arial"/>
          <w:b/>
          <w:bCs/>
          <w:highlight w:val="none"/>
          <w:lang w:val="en-US"/>
        </w:rPr>
      </w:pPr>
      <w:r>
        <w:rPr>
          <w:rFonts w:eastAsia="Arial"/>
          <w:b/>
          <w:bCs/>
          <w:highlight w:val="none"/>
          <w:lang w:val="en-US"/>
        </w:rPr>
        <w:t>Global Warming Potential of methane (</w:t>
      </w:r>
      <w:r>
        <w:rPr>
          <w:rFonts w:ascii="Cambria Math" w:hAnsi="Cambria Math" w:eastAsia="Arial" w:cs="Cambria Math"/>
          <w:b/>
          <w:bCs/>
          <w:highlight w:val="none"/>
          <w:lang w:val="en-US"/>
        </w:rPr>
        <w:t>𝐺𝑊𝑃</w:t>
      </w:r>
      <w:r>
        <w:rPr>
          <w:rFonts w:ascii="Cambria Math" w:hAnsi="Cambria Math" w:eastAsia="Arial" w:cs="Cambria Math"/>
          <w:b/>
          <w:bCs/>
          <w:highlight w:val="none"/>
          <w:vertAlign w:val="subscript"/>
          <w:lang w:val="en-US"/>
        </w:rPr>
        <w:t>𝐶𝐻</w:t>
      </w:r>
      <w:r>
        <w:rPr>
          <w:rFonts w:eastAsia="Arial"/>
          <w:b/>
          <w:bCs/>
          <w:highlight w:val="none"/>
          <w:vertAlign w:val="subscript"/>
          <w:lang w:val="en-US"/>
        </w:rPr>
        <w:t>4</w:t>
      </w:r>
      <w:r>
        <w:rPr>
          <w:rFonts w:eastAsia="Arial"/>
          <w:b/>
          <w:bCs/>
          <w:highlight w:val="none"/>
          <w:lang w:val="en-US"/>
        </w:rPr>
        <w:t>)</w:t>
      </w:r>
    </w:p>
    <w:p w14:paraId="6053D720">
      <w:pPr>
        <w:rPr>
          <w:rFonts w:hint="default" w:eastAsia="Arial"/>
          <w:b w:val="0"/>
          <w:bCs w:val="0"/>
          <w:highlight w:val="none"/>
          <w:u w:val="single"/>
          <w:vertAlign w:val="subscript"/>
          <w:lang w:val="es-ES"/>
        </w:rPr>
      </w:pPr>
      <w:r>
        <w:rPr>
          <w:rFonts w:eastAsia="Arial"/>
          <w:b w:val="0"/>
          <w:bCs w:val="0"/>
          <w:highlight w:val="none"/>
          <w:lang w:val="en-US"/>
        </w:rPr>
        <w:t>This parameter is established by IPCC for each years.</w:t>
      </w:r>
      <w:r>
        <w:rPr>
          <w:rFonts w:hint="default" w:eastAsia="Arial"/>
          <w:b w:val="0"/>
          <w:bCs w:val="0"/>
          <w:highlight w:val="none"/>
          <w:lang w:val="es-ES"/>
        </w:rPr>
        <w:t xml:space="preserve"> </w:t>
      </w:r>
      <w:r>
        <w:rPr>
          <w:rFonts w:ascii="Cambria Math" w:hAnsi="Cambria Math" w:eastAsia="Arial" w:cs="Cambria Math"/>
          <w:b w:val="0"/>
          <w:bCs w:val="0"/>
          <w:highlight w:val="none"/>
          <w:lang w:val="en-US"/>
        </w:rPr>
        <w:t>𝐺𝑊𝑃</w:t>
      </w:r>
      <w:r>
        <w:rPr>
          <w:rFonts w:ascii="Cambria Math" w:hAnsi="Cambria Math" w:eastAsia="Arial" w:cs="Cambria Math"/>
          <w:b w:val="0"/>
          <w:bCs w:val="0"/>
          <w:highlight w:val="none"/>
          <w:vertAlign w:val="subscript"/>
          <w:lang w:val="en-US"/>
        </w:rPr>
        <w:t>𝐶𝐻</w:t>
      </w:r>
      <w:r>
        <w:rPr>
          <w:rFonts w:eastAsia="Arial"/>
          <w:b w:val="0"/>
          <w:bCs w:val="0"/>
          <w:highlight w:val="none"/>
          <w:vertAlign w:val="subscript"/>
          <w:lang w:val="en-US"/>
        </w:rPr>
        <w:t>4</w:t>
      </w:r>
      <w:r>
        <w:rPr>
          <w:rFonts w:eastAsia="Arial"/>
          <w:b w:val="0"/>
          <w:bCs w:val="0"/>
          <w:highlight w:val="none"/>
          <w:lang w:val="en-US"/>
        </w:rPr>
        <w:t xml:space="preserve"> = 28</w:t>
      </w:r>
      <w:r>
        <w:rPr>
          <w:rFonts w:hint="default" w:eastAsia="Arial"/>
          <w:b w:val="0"/>
          <w:bCs w:val="0"/>
          <w:highlight w:val="none"/>
          <w:lang w:val="es-ES"/>
        </w:rPr>
        <w:t xml:space="preserve"> </w:t>
      </w:r>
      <w:r>
        <w:rPr>
          <w:b w:val="0"/>
          <w:bCs w:val="0"/>
          <w:highlight w:val="none"/>
          <w:lang w:val="en-US"/>
        </w:rPr>
        <w:t>tCO</w:t>
      </w:r>
      <w:r>
        <w:rPr>
          <w:b w:val="0"/>
          <w:bCs w:val="0"/>
          <w:highlight w:val="none"/>
          <w:vertAlign w:val="subscript"/>
          <w:lang w:val="en-US"/>
        </w:rPr>
        <w:t>2</w:t>
      </w:r>
      <w:r>
        <w:rPr>
          <w:b w:val="0"/>
          <w:bCs w:val="0"/>
          <w:highlight w:val="none"/>
          <w:lang w:val="en-US"/>
        </w:rPr>
        <w:t>e</w:t>
      </w:r>
      <w:r>
        <w:rPr>
          <w:rFonts w:hint="default"/>
          <w:b w:val="0"/>
          <w:bCs w:val="0"/>
          <w:highlight w:val="none"/>
          <w:lang w:val="es-ES"/>
        </w:rPr>
        <w:t xml:space="preserve"> / t CH</w:t>
      </w:r>
      <w:r>
        <w:rPr>
          <w:rFonts w:hint="default"/>
          <w:b w:val="0"/>
          <w:bCs w:val="0"/>
          <w:highlight w:val="none"/>
          <w:vertAlign w:val="subscript"/>
          <w:lang w:val="es-ES"/>
        </w:rPr>
        <w:t>4</w:t>
      </w:r>
    </w:p>
    <w:p w14:paraId="11043F84">
      <w:pPr>
        <w:spacing w:after="160" w:line="259" w:lineRule="auto"/>
        <w:rPr>
          <w:rFonts w:eastAsia="Arial"/>
          <w:b/>
          <w:bCs/>
          <w:highlight w:val="none"/>
          <w:lang w:val="en-US"/>
        </w:rPr>
      </w:pPr>
      <w:r>
        <w:rPr>
          <w:rFonts w:eastAsia="Arial"/>
          <w:b/>
          <w:bCs/>
          <w:highlight w:val="none"/>
          <w:lang w:val="en-US"/>
        </w:rPr>
        <w:t>Oxidation factor (OX)</w:t>
      </w:r>
    </w:p>
    <w:p w14:paraId="7E8BFAE2">
      <w:pPr>
        <w:spacing w:after="160" w:line="259" w:lineRule="auto"/>
        <w:rPr>
          <w:rFonts w:hint="default" w:ascii="Arial" w:hAnsi="Arial" w:eastAsia="Arial" w:cs="Arial"/>
          <w:b w:val="0"/>
          <w:bCs w:val="0"/>
          <w:highlight w:val="none"/>
          <w:lang w:val="en-US"/>
        </w:rPr>
      </w:pPr>
      <w:r>
        <w:rPr>
          <w:rFonts w:hint="default" w:ascii="Arial" w:hAnsi="Arial" w:eastAsia="Arial" w:cs="Arial"/>
          <w:b w:val="0"/>
          <w:bCs w:val="0"/>
          <w:highlight w:val="none"/>
          <w:lang w:val="en-US"/>
        </w:rPr>
        <w:t>For applications A and B, the default value of OX is 0,1.</w:t>
      </w:r>
      <w:r>
        <w:rPr>
          <w:rFonts w:hint="default" w:ascii="Arial" w:hAnsi="Arial" w:eastAsia="Arial" w:cs="Arial"/>
          <w:b w:val="0"/>
          <w:bCs w:val="0"/>
          <w:highlight w:val="none"/>
          <w:lang w:val="es-ES"/>
        </w:rPr>
        <w:t xml:space="preserve"> </w:t>
      </w:r>
      <w:r>
        <w:rPr>
          <w:rFonts w:hint="default" w:ascii="Arial" w:hAnsi="Arial" w:eastAsia="Arial" w:cs="Arial"/>
          <w:b w:val="0"/>
          <w:bCs w:val="0"/>
          <w:highlight w:val="none"/>
          <w:lang w:val="en-US"/>
        </w:rPr>
        <w:t>OX = 0,1</w:t>
      </w:r>
    </w:p>
    <w:p w14:paraId="49F41546">
      <w:pPr>
        <w:spacing w:after="160" w:line="259" w:lineRule="auto"/>
        <w:rPr>
          <w:rFonts w:eastAsia="Arial"/>
          <w:b/>
          <w:bCs/>
          <w:highlight w:val="none"/>
          <w:lang w:val="en-US"/>
        </w:rPr>
      </w:pPr>
      <w:r>
        <w:rPr>
          <w:rFonts w:eastAsia="Arial"/>
          <w:b/>
          <w:bCs/>
          <w:highlight w:val="none"/>
          <w:lang w:val="en-US"/>
        </w:rPr>
        <w:t>Fraction of methane in the SWDS gas (volume fraction) (F)</w:t>
      </w:r>
    </w:p>
    <w:p w14:paraId="5D8D5F3C">
      <w:pPr>
        <w:spacing w:after="160" w:line="259" w:lineRule="auto"/>
        <w:rPr>
          <w:rFonts w:hint="default" w:ascii="Arial" w:hAnsi="Arial" w:eastAsia="Arial" w:cs="Arial"/>
          <w:b w:val="0"/>
          <w:bCs w:val="0"/>
          <w:highlight w:val="none"/>
          <w:lang w:val="en-US"/>
        </w:rPr>
      </w:pPr>
      <w:r>
        <w:rPr>
          <w:rFonts w:hint="default" w:ascii="Arial" w:hAnsi="Arial" w:eastAsia="Arial" w:cs="Arial"/>
          <w:b w:val="0"/>
          <w:bCs w:val="0"/>
          <w:highlight w:val="none"/>
          <w:lang w:val="en-US"/>
        </w:rPr>
        <w:t>For applications A and B, the default value of F is 0,5.</w:t>
      </w:r>
      <w:r>
        <w:rPr>
          <w:rFonts w:hint="default" w:ascii="Arial" w:hAnsi="Arial" w:eastAsia="Arial" w:cs="Arial"/>
          <w:b w:val="0"/>
          <w:bCs w:val="0"/>
          <w:highlight w:val="none"/>
          <w:lang w:val="es-ES"/>
        </w:rPr>
        <w:t xml:space="preserve"> </w:t>
      </w:r>
      <w:r>
        <w:rPr>
          <w:rFonts w:hint="default" w:ascii="Arial" w:hAnsi="Arial" w:eastAsia="Arial" w:cs="Arial"/>
          <w:b w:val="0"/>
          <w:bCs w:val="0"/>
          <w:highlight w:val="none"/>
          <w:lang w:val="en-US"/>
        </w:rPr>
        <w:t>F = 0,5</w:t>
      </w:r>
    </w:p>
    <w:p w14:paraId="018E1EEA">
      <w:pPr>
        <w:spacing w:after="160" w:line="259" w:lineRule="auto"/>
        <w:rPr>
          <w:rFonts w:eastAsia="Arial"/>
          <w:b/>
          <w:bCs/>
          <w:highlight w:val="none"/>
          <w:lang w:val="en-US"/>
        </w:rPr>
      </w:pPr>
      <w:r>
        <w:rPr>
          <w:rFonts w:eastAsia="Arial"/>
          <w:b/>
          <w:bCs/>
          <w:highlight w:val="none"/>
          <w:lang w:val="en-US"/>
        </w:rPr>
        <w:t>Fraction of degradable organic carbon (DOC) that decomposes under the specific conditions occurring in the SWDS for year y (weight fraction) (</w:t>
      </w:r>
      <w:r>
        <w:rPr>
          <w:rFonts w:ascii="Cambria Math" w:hAnsi="Cambria Math" w:eastAsia="Arial" w:cs="Cambria Math"/>
          <w:b/>
          <w:bCs/>
          <w:highlight w:val="none"/>
          <w:lang w:val="en-US"/>
        </w:rPr>
        <w:t>𝐷𝑂𝐶</w:t>
      </w:r>
      <w:r>
        <w:rPr>
          <w:rFonts w:ascii="Cambria Math" w:hAnsi="Cambria Math" w:eastAsia="Arial" w:cs="Cambria Math"/>
          <w:b/>
          <w:bCs/>
          <w:highlight w:val="none"/>
          <w:vertAlign w:val="subscript"/>
          <w:lang w:val="en-US"/>
        </w:rPr>
        <w:t>𝑓</w:t>
      </w:r>
      <w:r>
        <w:rPr>
          <w:rFonts w:eastAsia="Arial"/>
          <w:b/>
          <w:bCs/>
          <w:highlight w:val="none"/>
          <w:vertAlign w:val="subscript"/>
          <w:lang w:val="en-US"/>
        </w:rPr>
        <w:t>,y</w:t>
      </w:r>
      <w:r>
        <w:rPr>
          <w:rFonts w:eastAsia="Arial"/>
          <w:b/>
          <w:bCs/>
          <w:highlight w:val="none"/>
          <w:lang w:val="en-US"/>
        </w:rPr>
        <w:t>)</w:t>
      </w:r>
    </w:p>
    <w:p w14:paraId="23DAE07A">
      <w:pPr>
        <w:spacing w:after="160" w:line="259" w:lineRule="auto"/>
        <w:rPr>
          <w:rFonts w:eastAsia="Arial"/>
          <w:b w:val="0"/>
          <w:bCs w:val="0"/>
          <w:highlight w:val="none"/>
          <w:lang w:val="en-US"/>
        </w:rPr>
      </w:pPr>
      <w:r>
        <w:rPr>
          <w:rFonts w:eastAsia="Arial"/>
          <w:b w:val="0"/>
          <w:bCs w:val="0"/>
          <w:highlight w:val="none"/>
          <w:lang w:val="en-US"/>
        </w:rPr>
        <w:t xml:space="preserve">For application B, and table 14 (page 14) in the case of MSW, default value is established by IPCC Guidelines for National GGI. So, </w:t>
      </w:r>
      <w:r>
        <w:rPr>
          <w:rFonts w:ascii="Cambria Math" w:hAnsi="Cambria Math" w:eastAsia="Arial" w:cs="Cambria Math"/>
          <w:b w:val="0"/>
          <w:bCs w:val="0"/>
          <w:highlight w:val="none"/>
          <w:lang w:val="en-US"/>
        </w:rPr>
        <w:t>𝐷𝑂𝐶</w:t>
      </w:r>
      <w:r>
        <w:rPr>
          <w:rFonts w:ascii="Cambria Math" w:hAnsi="Cambria Math" w:eastAsia="Arial" w:cs="Cambria Math"/>
          <w:b w:val="0"/>
          <w:bCs w:val="0"/>
          <w:highlight w:val="none"/>
          <w:vertAlign w:val="subscript"/>
          <w:lang w:val="en-US"/>
        </w:rPr>
        <w:t>𝑓</w:t>
      </w:r>
      <w:r>
        <w:rPr>
          <w:rFonts w:eastAsia="Arial"/>
          <w:b w:val="0"/>
          <w:bCs w:val="0"/>
          <w:highlight w:val="none"/>
          <w:vertAlign w:val="subscript"/>
          <w:lang w:val="en-US"/>
        </w:rPr>
        <w:t>,y</w:t>
      </w:r>
      <w:r>
        <w:rPr>
          <w:rFonts w:eastAsia="Arial"/>
          <w:b w:val="0"/>
          <w:bCs w:val="0"/>
          <w:highlight w:val="none"/>
          <w:lang w:val="en-US"/>
        </w:rPr>
        <w:t xml:space="preserve"> = 0,5</w:t>
      </w:r>
    </w:p>
    <w:p w14:paraId="069F6616">
      <w:pPr>
        <w:spacing w:after="160" w:line="259" w:lineRule="auto"/>
        <w:rPr>
          <w:rFonts w:eastAsia="Arial"/>
          <w:b/>
          <w:bCs/>
          <w:highlight w:val="none"/>
          <w:lang w:val="en-US"/>
        </w:rPr>
      </w:pPr>
      <w:r>
        <w:rPr>
          <w:rFonts w:eastAsia="Arial"/>
          <w:b/>
          <w:bCs/>
          <w:highlight w:val="none"/>
          <w:lang w:val="en-US"/>
        </w:rPr>
        <w:t>Methane correction factor for year y (MCF</w:t>
      </w:r>
      <w:r>
        <w:rPr>
          <w:rFonts w:eastAsia="Arial"/>
          <w:b/>
          <w:bCs/>
          <w:highlight w:val="none"/>
          <w:vertAlign w:val="subscript"/>
          <w:lang w:val="en-US"/>
        </w:rPr>
        <w:t>y</w:t>
      </w:r>
      <w:r>
        <w:rPr>
          <w:rFonts w:eastAsia="Arial"/>
          <w:b/>
          <w:bCs/>
          <w:highlight w:val="none"/>
          <w:lang w:val="en-US"/>
        </w:rPr>
        <w:t>)</w:t>
      </w:r>
    </w:p>
    <w:p w14:paraId="36CD187D">
      <w:pPr>
        <w:spacing w:after="160" w:line="259" w:lineRule="auto"/>
        <w:rPr>
          <w:rFonts w:hint="default" w:ascii="Arial" w:hAnsi="Arial" w:eastAsia="Arial" w:cs="Arial"/>
          <w:b w:val="0"/>
          <w:bCs w:val="0"/>
          <w:highlight w:val="none"/>
          <w:lang w:val="en-US"/>
        </w:rPr>
      </w:pPr>
      <w:r>
        <w:rPr>
          <w:rFonts w:hint="default" w:ascii="Arial" w:hAnsi="Arial" w:eastAsia="Arial" w:cs="Arial"/>
          <w:b w:val="0"/>
          <w:bCs w:val="0"/>
          <w:highlight w:val="none"/>
          <w:lang w:val="en-US"/>
        </w:rPr>
        <w:t>For application B, considering SWDS without a water table above the bottom of the SWDS, the default values (based on SWDS type) for MCFy is 1, as per table 5, for anaerobic managed solid waste disposal sites.</w:t>
      </w:r>
      <w:r>
        <w:rPr>
          <w:rFonts w:hint="default" w:ascii="Arial" w:hAnsi="Arial" w:eastAsia="Arial" w:cs="Arial"/>
          <w:b w:val="0"/>
          <w:bCs w:val="0"/>
          <w:highlight w:val="none"/>
          <w:lang w:val="es-ES"/>
        </w:rPr>
        <w:t xml:space="preserve"> </w:t>
      </w:r>
      <w:r>
        <w:rPr>
          <w:rFonts w:hint="default" w:ascii="Arial" w:hAnsi="Arial" w:eastAsia="Arial" w:cs="Arial"/>
          <w:b w:val="0"/>
          <w:bCs w:val="0"/>
          <w:highlight w:val="none"/>
          <w:lang w:val="en-US"/>
        </w:rPr>
        <w:t>MCF</w:t>
      </w:r>
      <w:r>
        <w:rPr>
          <w:rFonts w:hint="default" w:ascii="Arial" w:hAnsi="Arial" w:eastAsia="Arial" w:cs="Arial"/>
          <w:b w:val="0"/>
          <w:bCs w:val="0"/>
          <w:highlight w:val="none"/>
          <w:vertAlign w:val="subscript"/>
          <w:lang w:val="en-US"/>
        </w:rPr>
        <w:t>y</w:t>
      </w:r>
      <w:r>
        <w:rPr>
          <w:rFonts w:hint="default" w:ascii="Arial" w:hAnsi="Arial" w:eastAsia="Arial" w:cs="Arial"/>
          <w:b w:val="0"/>
          <w:bCs w:val="0"/>
          <w:highlight w:val="none"/>
          <w:lang w:val="en-US"/>
        </w:rPr>
        <w:t xml:space="preserve"> = 1</w:t>
      </w:r>
    </w:p>
    <w:p w14:paraId="7A7DA172">
      <w:pPr>
        <w:spacing w:after="160" w:line="259" w:lineRule="auto"/>
        <w:rPr>
          <w:rFonts w:eastAsia="Arial"/>
          <w:b/>
          <w:bCs/>
          <w:highlight w:val="none"/>
          <w:lang w:val="en-US"/>
        </w:rPr>
      </w:pPr>
      <w:r>
        <w:rPr>
          <w:rFonts w:eastAsia="Arial"/>
          <w:b/>
          <w:bCs/>
          <w:highlight w:val="none"/>
          <w:lang w:val="en-US"/>
        </w:rPr>
        <w:t>Amount of solid waste type j disposed or prevented from disposal in the SWDS in the year x (t) (</w:t>
      </w:r>
      <w:r>
        <w:rPr>
          <w:rFonts w:ascii="Cambria Math" w:hAnsi="Cambria Math" w:eastAsia="Times New Roman" w:cs="Cambria Math"/>
          <w:b/>
          <w:bCs/>
          <w:highlight w:val="none"/>
        </w:rPr>
        <w:t>𝑊</w:t>
      </w:r>
      <w:r>
        <w:rPr>
          <w:rFonts w:ascii="Cambria Math" w:hAnsi="Cambria Math" w:eastAsia="Times New Roman" w:cs="Cambria Math"/>
          <w:b/>
          <w:bCs/>
          <w:highlight w:val="none"/>
          <w:vertAlign w:val="subscript"/>
        </w:rPr>
        <w:t>𝑗</w:t>
      </w:r>
      <w:r>
        <w:rPr>
          <w:rFonts w:eastAsia="Arial"/>
          <w:b/>
          <w:bCs/>
          <w:highlight w:val="none"/>
          <w:vertAlign w:val="subscript"/>
          <w:lang w:val="en-US"/>
        </w:rPr>
        <w:t>,x</w:t>
      </w:r>
      <w:r>
        <w:rPr>
          <w:rFonts w:eastAsia="Arial"/>
          <w:b/>
          <w:bCs/>
          <w:highlight w:val="none"/>
          <w:lang w:val="en-US"/>
        </w:rPr>
        <w:t>)</w:t>
      </w:r>
    </w:p>
    <w:tbl>
      <w:tblPr>
        <w:tblStyle w:val="12"/>
        <w:tblW w:w="96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40"/>
        <w:gridCol w:w="1754"/>
        <w:gridCol w:w="1705"/>
        <w:gridCol w:w="1787"/>
        <w:gridCol w:w="1721"/>
        <w:gridCol w:w="1685"/>
      </w:tblGrid>
      <w:tr w14:paraId="13E6FC49">
        <w:trPr>
          <w:trHeight w:val="1216" w:hRule="atLeast"/>
          <w:jc w:val="center"/>
        </w:trPr>
        <w:tc>
          <w:tcPr>
            <w:tcW w:w="1040" w:type="dxa"/>
            <w:tcBorders>
              <w:top w:val="single" w:color="000000" w:sz="8" w:space="0"/>
              <w:left w:val="single" w:color="000000" w:sz="8" w:space="0"/>
              <w:bottom w:val="single" w:color="000000" w:sz="4" w:space="0"/>
              <w:right w:val="single" w:color="000000" w:sz="4" w:space="0"/>
            </w:tcBorders>
            <w:shd w:val="clear" w:color="auto" w:fill="FFFFFF" w:themeFill="background1"/>
            <w:noWrap/>
            <w:vAlign w:val="center"/>
          </w:tcPr>
          <w:p w14:paraId="661F1261">
            <w:pPr>
              <w:spacing w:before="0" w:after="0"/>
              <w:jc w:val="center"/>
              <w:rPr>
                <w:rFonts w:hint="default"/>
                <w:color w:val="000000" w:themeColor="text1"/>
                <w:highlight w:val="none"/>
                <w:lang w:val="es-ES"/>
                <w14:textFill>
                  <w14:solidFill>
                    <w14:schemeClr w14:val="tx1"/>
                  </w14:solidFill>
                </w14:textFill>
              </w:rPr>
            </w:pPr>
            <w:r>
              <w:rPr>
                <w:rFonts w:hint="default"/>
                <w:color w:val="000000" w:themeColor="text1"/>
                <w:highlight w:val="none"/>
                <w:lang w:val="es-ES"/>
                <w14:textFill>
                  <w14:solidFill>
                    <w14:schemeClr w14:val="tx1"/>
                  </w14:solidFill>
                </w14:textFill>
              </w:rPr>
              <w:t>YEAR</w:t>
            </w:r>
          </w:p>
        </w:tc>
        <w:tc>
          <w:tcPr>
            <w:tcW w:w="1754"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5E4E8619">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1</w:t>
            </w:r>
          </w:p>
          <w:p w14:paraId="3612106A">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/2018-31/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/2019</w:t>
            </w:r>
          </w:p>
        </w:tc>
        <w:tc>
          <w:tcPr>
            <w:tcW w:w="1705"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6EF87C46">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2</w:t>
            </w:r>
          </w:p>
          <w:p w14:paraId="2B8C6580">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/2019-31/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/2020</w:t>
            </w:r>
          </w:p>
        </w:tc>
        <w:tc>
          <w:tcPr>
            <w:tcW w:w="1787"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6987CB0F">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3</w:t>
            </w:r>
          </w:p>
          <w:p w14:paraId="68C5BF92">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/2020-31/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/2021</w:t>
            </w:r>
          </w:p>
        </w:tc>
        <w:tc>
          <w:tcPr>
            <w:tcW w:w="1721"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16B5F6B7">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4</w:t>
            </w:r>
          </w:p>
          <w:p w14:paraId="63D912FE">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/2021-31/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/2022</w:t>
            </w:r>
          </w:p>
        </w:tc>
        <w:tc>
          <w:tcPr>
            <w:tcW w:w="1685"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01FBFC90">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5</w:t>
            </w:r>
          </w:p>
          <w:p w14:paraId="451B0CF3">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/2022-31/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/2023</w:t>
            </w:r>
          </w:p>
        </w:tc>
      </w:tr>
      <w:tr w14:paraId="4EA37980">
        <w:trPr>
          <w:trHeight w:val="315" w:hRule="atLeast"/>
          <w:jc w:val="center"/>
        </w:trPr>
        <w:tc>
          <w:tcPr>
            <w:tcW w:w="1040" w:type="dxa"/>
            <w:tcBorders>
              <w:top w:val="single" w:color="000000" w:sz="4" w:space="0"/>
              <w:left w:val="single" w:color="000000" w:sz="8" w:space="0"/>
              <w:bottom w:val="single" w:color="000000" w:sz="8" w:space="0"/>
              <w:right w:val="single" w:color="000000" w:sz="4" w:space="0"/>
            </w:tcBorders>
            <w:shd w:val="clear" w:color="auto" w:fill="FFFFFF" w:themeFill="background1"/>
            <w:noWrap/>
            <w:vAlign w:val="center"/>
          </w:tcPr>
          <w:p w14:paraId="28753550">
            <w:pPr>
              <w:spacing w:before="0" w:after="0"/>
              <w:jc w:val="center"/>
              <w:rPr>
                <w:rFonts w:hint="default"/>
                <w:color w:val="000000" w:themeColor="text1"/>
                <w:highlight w:val="none"/>
                <w14:textFill>
                  <w14:solidFill>
                    <w14:schemeClr w14:val="tx1"/>
                  </w14:solidFill>
                </w14:textFill>
              </w:rPr>
            </w:pPr>
            <w:r>
              <w:rPr>
                <w:rFonts w:hint="default"/>
                <w:bCs/>
                <w:color w:val="000000" w:themeColor="text1"/>
                <w:highlight w:val="none"/>
                <w:vertAlign w:val="baseline"/>
                <w:lang w:val="es-ES"/>
                <w14:textFill>
                  <w14:solidFill>
                    <w14:schemeClr w14:val="tx1"/>
                  </w14:solidFill>
                </w14:textFill>
              </w:rPr>
              <w:t>W</w:t>
            </w:r>
            <w:r>
              <w:rPr>
                <w:rFonts w:hint="default"/>
                <w:bCs/>
                <w:color w:val="000000" w:themeColor="text1"/>
                <w:highlight w:val="none"/>
                <w:vertAlign w:val="subscript"/>
                <w:lang w:val="es-ES"/>
                <w14:textFill>
                  <w14:solidFill>
                    <w14:schemeClr w14:val="tx1"/>
                  </w14:solidFill>
                </w14:textFill>
              </w:rPr>
              <w:t>j,x</w:t>
            </w:r>
            <w:r>
              <w:rPr>
                <w:bCs/>
                <w:color w:val="000000" w:themeColor="text1"/>
                <w:highlight w:val="none"/>
                <w:lang w:val="en-US"/>
                <w14:textFill>
                  <w14:solidFill>
                    <w14:schemeClr w14:val="tx1"/>
                  </w14:solidFill>
                </w14:textFill>
              </w:rPr>
              <w:t xml:space="preserve"> (t)</w:t>
            </w:r>
          </w:p>
        </w:tc>
        <w:tc>
          <w:tcPr>
            <w:tcW w:w="1754"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0D30EC5C">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12,046.71 </w:t>
            </w:r>
          </w:p>
        </w:tc>
        <w:tc>
          <w:tcPr>
            <w:tcW w:w="1705"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1D15C027">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16,520.30 </w:t>
            </w:r>
          </w:p>
        </w:tc>
        <w:tc>
          <w:tcPr>
            <w:tcW w:w="1787"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6AD3F1AE">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13,893.60 </w:t>
            </w:r>
          </w:p>
        </w:tc>
        <w:tc>
          <w:tcPr>
            <w:tcW w:w="1721"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39C42EBE">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16,800.88 </w:t>
            </w:r>
          </w:p>
        </w:tc>
        <w:tc>
          <w:tcPr>
            <w:tcW w:w="1685" w:type="dxa"/>
            <w:tcBorders>
              <w:top w:val="single" w:color="000000" w:sz="4" w:space="0"/>
              <w:left w:val="single" w:color="000000" w:sz="4" w:space="0"/>
              <w:bottom w:val="single" w:color="000000" w:sz="8" w:space="0"/>
              <w:right w:val="single" w:color="000000" w:sz="4" w:space="0"/>
            </w:tcBorders>
            <w:shd w:val="clear" w:color="auto" w:fill="FFFFFF" w:themeFill="background1"/>
            <w:vAlign w:val="bottom"/>
          </w:tcPr>
          <w:p w14:paraId="18DCDE29">
            <w:pPr>
              <w:keepNext w:val="0"/>
              <w:keepLines w:val="0"/>
              <w:widowControl/>
              <w:suppressLineNumbers w:val="0"/>
              <w:jc w:val="both"/>
              <w:textAlignment w:val="bottom"/>
              <w:rPr>
                <w:rFonts w:hint="default"/>
                <w:b w:val="0"/>
                <w:bCs w:val="0"/>
                <w:color w:val="000000" w:themeColor="text1"/>
                <w:highlight w:val="none"/>
                <w14:textFill>
                  <w14:solidFill>
                    <w14:schemeClr w14:val="tx1"/>
                  </w14:solidFill>
                </w14:textFill>
              </w:rPr>
            </w:pPr>
            <w:r>
              <w:rPr>
                <w:rFonts w:hint="default" w:ascii="Arial" w:hAnsi="Arial" w:eastAsia="SimSun" w:cs="Arial"/>
                <w:i w:val="0"/>
                <w:iCs w:val="0"/>
                <w:color w:val="000000"/>
                <w:kern w:val="0"/>
                <w:sz w:val="20"/>
                <w:szCs w:val="20"/>
                <w:highlight w:val="none"/>
                <w:u w:val="none"/>
                <w:lang w:val="en-US" w:eastAsia="zh-CN" w:bidi="ar"/>
              </w:rPr>
              <w:t xml:space="preserve">16,182.50 </w:t>
            </w:r>
          </w:p>
        </w:tc>
      </w:tr>
    </w:tbl>
    <w:p w14:paraId="30C88A9C">
      <w:pPr>
        <w:spacing w:after="160" w:line="259" w:lineRule="auto"/>
        <w:rPr>
          <w:rFonts w:eastAsia="Arial"/>
          <w:b/>
          <w:bCs/>
          <w:highlight w:val="none"/>
          <w:lang w:val="en-US"/>
        </w:rPr>
      </w:pPr>
      <w:r>
        <w:rPr>
          <w:rFonts w:eastAsia="Arial"/>
          <w:b/>
          <w:bCs/>
          <w:highlight w:val="none"/>
          <w:lang w:val="en-US"/>
        </w:rPr>
        <w:t>Fraction of degradable organic carbon in the waste type j (weight fraction) (</w:t>
      </w:r>
      <w:r>
        <w:rPr>
          <w:rFonts w:ascii="Cambria Math" w:hAnsi="Cambria Math" w:eastAsia="Arial" w:cs="Cambria Math"/>
          <w:b/>
          <w:bCs/>
          <w:highlight w:val="none"/>
        </w:rPr>
        <w:t>𝐷𝑂𝐶</w:t>
      </w:r>
      <w:r>
        <w:rPr>
          <w:rFonts w:eastAsia="Arial"/>
          <w:b/>
          <w:bCs/>
          <w:highlight w:val="none"/>
          <w:vertAlign w:val="subscript"/>
          <w:lang w:val="en-US"/>
        </w:rPr>
        <w:t>j</w:t>
      </w:r>
      <w:r>
        <w:rPr>
          <w:rFonts w:eastAsia="Arial"/>
          <w:b/>
          <w:bCs/>
          <w:highlight w:val="none"/>
          <w:lang w:val="en-US"/>
        </w:rPr>
        <w:t>)</w:t>
      </w:r>
    </w:p>
    <w:p w14:paraId="483E6DC1">
      <w:pPr>
        <w:spacing w:after="160" w:line="259" w:lineRule="auto"/>
        <w:rPr>
          <w:rFonts w:eastAsia="Arial"/>
          <w:highlight w:val="none"/>
          <w:lang w:val="en-US"/>
        </w:rPr>
      </w:pPr>
      <w:r>
        <w:rPr>
          <w:rFonts w:eastAsia="Arial"/>
          <w:highlight w:val="none"/>
          <w:lang w:val="en-US"/>
        </w:rPr>
        <w:t>For application B, and table 6, the value for MSW and food, food waste, beverages and tobacco (other than sludge) is 15% wet waste.</w:t>
      </w:r>
      <w:r>
        <w:rPr>
          <w:rFonts w:hint="default" w:eastAsia="Arial"/>
          <w:highlight w:val="none"/>
          <w:lang w:val="es-ES"/>
        </w:rPr>
        <w:t xml:space="preserve"> </w:t>
      </w:r>
      <w:r>
        <w:rPr>
          <w:rFonts w:ascii="Cambria Math" w:hAnsi="Cambria Math" w:eastAsia="Arial" w:cs="Cambria Math"/>
          <w:b/>
          <w:bCs/>
          <w:highlight w:val="none"/>
          <w:lang w:val="en-US"/>
        </w:rPr>
        <w:t>𝐷𝑂𝐶</w:t>
      </w:r>
      <w:r>
        <w:rPr>
          <w:rFonts w:eastAsia="Arial"/>
          <w:b/>
          <w:bCs/>
          <w:highlight w:val="none"/>
          <w:vertAlign w:val="subscript"/>
          <w:lang w:val="en-US"/>
        </w:rPr>
        <w:t>j</w:t>
      </w:r>
      <w:r>
        <w:rPr>
          <w:rFonts w:eastAsia="Arial"/>
          <w:b/>
          <w:bCs/>
          <w:highlight w:val="none"/>
          <w:lang w:val="en-US"/>
        </w:rPr>
        <w:t xml:space="preserve"> = 15% </w:t>
      </w:r>
    </w:p>
    <w:p w14:paraId="2F40D522">
      <w:pPr>
        <w:spacing w:after="160" w:line="259" w:lineRule="auto"/>
        <w:rPr>
          <w:rFonts w:eastAsia="Arial"/>
          <w:b/>
          <w:bCs/>
          <w:highlight w:val="none"/>
          <w:lang w:val="en-US"/>
        </w:rPr>
      </w:pPr>
      <w:r>
        <w:rPr>
          <w:rFonts w:eastAsia="Arial"/>
          <w:b/>
          <w:bCs/>
          <w:highlight w:val="none"/>
          <w:lang w:val="en-US"/>
        </w:rPr>
        <w:t>Decay rate for the waste type j (1/yr) (k</w:t>
      </w:r>
      <w:r>
        <w:rPr>
          <w:rFonts w:eastAsia="Arial"/>
          <w:b/>
          <w:bCs/>
          <w:highlight w:val="none"/>
          <w:vertAlign w:val="subscript"/>
          <w:lang w:val="en-US"/>
        </w:rPr>
        <w:t>j</w:t>
      </w:r>
      <w:r>
        <w:rPr>
          <w:rFonts w:eastAsia="Arial"/>
          <w:b/>
          <w:bCs/>
          <w:highlight w:val="none"/>
          <w:lang w:val="en-US"/>
        </w:rPr>
        <w:t>)</w:t>
      </w:r>
    </w:p>
    <w:p w14:paraId="19E3068B">
      <w:pPr>
        <w:spacing w:after="160" w:line="259" w:lineRule="auto"/>
        <w:rPr>
          <w:rFonts w:eastAsia="Arial"/>
          <w:highlight w:val="none"/>
          <w:lang w:val="en-US"/>
        </w:rPr>
      </w:pPr>
      <w:r>
        <w:rPr>
          <w:rFonts w:eastAsia="Arial"/>
          <w:highlight w:val="none"/>
          <w:lang w:val="en-US"/>
        </w:rPr>
        <w:t xml:space="preserve">For rapidly degrading waste (food, food waste, beverages and tobacco) and boreal and temperate (MAT </w:t>
      </w:r>
      <w:r>
        <w:rPr>
          <w:rFonts w:eastAsia="Arial"/>
          <w:highlight w:val="none"/>
          <w:lang w:val="en-US"/>
        </w:rPr>
        <w:sym w:font="Symbol" w:char="F0A3"/>
      </w:r>
      <w:r>
        <w:rPr>
          <w:rFonts w:eastAsia="Arial"/>
          <w:highlight w:val="none"/>
          <w:lang w:val="en-US"/>
        </w:rPr>
        <w:t xml:space="preserve"> 20ºC), Wet (MAP/p ET &gt; 1), the value is 0,185 1/yr. </w:t>
      </w:r>
      <w:r>
        <w:rPr>
          <w:rFonts w:eastAsia="Arial"/>
          <w:b/>
          <w:bCs/>
          <w:highlight w:val="none"/>
          <w:lang w:val="en-US"/>
        </w:rPr>
        <w:t>k</w:t>
      </w:r>
      <w:r>
        <w:rPr>
          <w:rFonts w:eastAsia="Arial"/>
          <w:b/>
          <w:bCs/>
          <w:highlight w:val="none"/>
          <w:vertAlign w:val="subscript"/>
          <w:lang w:val="en-US"/>
        </w:rPr>
        <w:t>j</w:t>
      </w:r>
      <w:r>
        <w:rPr>
          <w:rFonts w:eastAsia="Arial"/>
          <w:b/>
          <w:bCs/>
          <w:highlight w:val="none"/>
          <w:lang w:val="en-US"/>
        </w:rPr>
        <w:t xml:space="preserve"> = 0,185 1/yr.</w:t>
      </w:r>
    </w:p>
    <w:p w14:paraId="2F26AC10">
      <w:pPr>
        <w:rPr>
          <w:highlight w:val="none"/>
          <w:lang w:val="en-US"/>
        </w:rPr>
      </w:pPr>
    </w:p>
    <w:p w14:paraId="5740F00D">
      <w:pPr>
        <w:rPr>
          <w:highlight w:val="none"/>
          <w:lang w:val="en-US"/>
        </w:rPr>
      </w:pPr>
      <w:r>
        <w:rPr>
          <w:highlight w:val="none"/>
          <w:lang w:val="en-US"/>
        </w:rPr>
        <w:t>So, the results of the baseline for each year are:</w:t>
      </w:r>
    </w:p>
    <w:tbl>
      <w:tblPr>
        <w:tblStyle w:val="12"/>
        <w:tblW w:w="4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2943"/>
        <w:gridCol w:w="1307"/>
      </w:tblGrid>
      <w:tr w14:paraId="467E4A83">
        <w:trPr>
          <w:trHeight w:val="325" w:hRule="atLeast"/>
          <w:jc w:val="center"/>
        </w:trPr>
        <w:tc>
          <w:tcPr>
            <w:tcW w:w="2943" w:type="dxa"/>
            <w:shd w:val="clear" w:color="auto" w:fill="auto"/>
            <w:tcMar>
              <w:top w:w="20" w:type="dxa"/>
              <w:left w:w="20" w:type="dxa"/>
              <w:bottom w:w="100" w:type="dxa"/>
              <w:right w:w="20" w:type="dxa"/>
            </w:tcMar>
            <w:vAlign w:val="bottom"/>
          </w:tcPr>
          <w:p w14:paraId="5F9934B8">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s-ES" w:eastAsia="zh-CN" w:bidi="ar"/>
              </w:rPr>
            </w:pPr>
            <w:r>
              <w:rPr>
                <w:rFonts w:hint="default" w:ascii="Arial Regular" w:hAnsi="Arial Regular" w:eastAsia="SimSun" w:cs="Arial Regular"/>
                <w:i w:val="0"/>
                <w:iCs w:val="0"/>
                <w:color w:val="000000"/>
                <w:kern w:val="0"/>
                <w:sz w:val="22"/>
                <w:szCs w:val="22"/>
                <w:highlight w:val="none"/>
                <w:u w:val="none"/>
                <w:lang w:val="es-ES" w:eastAsia="zh-CN" w:bidi="ar"/>
              </w:rPr>
              <w:t>YEAR</w:t>
            </w:r>
          </w:p>
        </w:tc>
        <w:tc>
          <w:tcPr>
            <w:tcW w:w="1307" w:type="dxa"/>
            <w:vAlign w:val="bottom"/>
          </w:tcPr>
          <w:p w14:paraId="4F83870B">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vertAlign w:val="baseline"/>
                <w:lang w:val="es-ES" w:eastAsia="zh-CN" w:bidi="ar"/>
              </w:rPr>
            </w:pPr>
            <w:r>
              <w:rPr>
                <w:rFonts w:hint="default" w:ascii="Arial Regular" w:hAnsi="Arial Regular" w:eastAsia="SimSun" w:cs="Arial Regular"/>
                <w:i w:val="0"/>
                <w:iCs w:val="0"/>
                <w:color w:val="000000"/>
                <w:kern w:val="0"/>
                <w:sz w:val="22"/>
                <w:szCs w:val="22"/>
                <w:highlight w:val="none"/>
                <w:u w:val="none"/>
                <w:lang w:val="es-ES" w:eastAsia="zh-CN" w:bidi="ar"/>
              </w:rPr>
              <w:t>BASELINE (t CO</w:t>
            </w:r>
            <w:r>
              <w:rPr>
                <w:rFonts w:hint="default" w:ascii="Arial Regular" w:hAnsi="Arial Regular" w:eastAsia="SimSun" w:cs="Arial Regular"/>
                <w:i w:val="0"/>
                <w:iCs w:val="0"/>
                <w:color w:val="000000"/>
                <w:kern w:val="0"/>
                <w:sz w:val="22"/>
                <w:szCs w:val="22"/>
                <w:highlight w:val="none"/>
                <w:u w:val="none"/>
                <w:vertAlign w:val="subscript"/>
                <w:lang w:val="es-ES" w:eastAsia="zh-CN" w:bidi="ar"/>
              </w:rPr>
              <w:t>2</w:t>
            </w:r>
            <w:r>
              <w:rPr>
                <w:rFonts w:hint="default" w:ascii="Arial Regular" w:hAnsi="Arial Regular" w:eastAsia="SimSun" w:cs="Arial Regular"/>
                <w:i w:val="0"/>
                <w:iCs w:val="0"/>
                <w:color w:val="000000"/>
                <w:kern w:val="0"/>
                <w:sz w:val="22"/>
                <w:szCs w:val="22"/>
                <w:highlight w:val="none"/>
                <w:u w:val="none"/>
                <w:vertAlign w:val="baseline"/>
                <w:lang w:val="es-ES" w:eastAsia="zh-CN" w:bidi="ar"/>
              </w:rPr>
              <w:t xml:space="preserve"> e)</w:t>
            </w:r>
          </w:p>
        </w:tc>
      </w:tr>
      <w:tr w14:paraId="2CE86147">
        <w:trPr>
          <w:trHeight w:val="90" w:hRule="atLeast"/>
          <w:jc w:val="center"/>
        </w:trPr>
        <w:tc>
          <w:tcPr>
            <w:tcW w:w="2943" w:type="dxa"/>
            <w:shd w:val="clear" w:color="auto" w:fill="auto"/>
            <w:tcMar>
              <w:top w:w="20" w:type="dxa"/>
              <w:left w:w="20" w:type="dxa"/>
              <w:bottom w:w="100" w:type="dxa"/>
              <w:right w:w="20" w:type="dxa"/>
            </w:tcMar>
            <w:vAlign w:val="bottom"/>
          </w:tcPr>
          <w:p w14:paraId="2EABA715">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s-ES" w:eastAsia="zh-CN" w:bidi="ar"/>
              </w:rPr>
            </w:pPr>
            <w:r>
              <w:rPr>
                <w:rFonts w:hint="default" w:ascii="Arial Regular" w:hAnsi="Arial Regular" w:eastAsia="SimSun" w:cs="Arial Regular"/>
                <w:i w:val="0"/>
                <w:iCs w:val="0"/>
                <w:color w:val="000000"/>
                <w:kern w:val="0"/>
                <w:sz w:val="22"/>
                <w:szCs w:val="22"/>
                <w:highlight w:val="none"/>
                <w:u w:val="none"/>
                <w:lang w:val="es-ES" w:eastAsia="zh-CN" w:bidi="ar"/>
              </w:rPr>
              <w:t>1</w:t>
            </w:r>
          </w:p>
          <w:p w14:paraId="136A76A4">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1/april/2018-31/march/2019</w:t>
            </w:r>
          </w:p>
        </w:tc>
        <w:tc>
          <w:tcPr>
            <w:tcW w:w="1307" w:type="dxa"/>
            <w:vAlign w:val="bottom"/>
          </w:tcPr>
          <w:p w14:paraId="77043E98">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10,873</w:t>
            </w:r>
          </w:p>
        </w:tc>
      </w:tr>
      <w:tr w14:paraId="7DEC7C60">
        <w:trPr>
          <w:trHeight w:val="111" w:hRule="atLeast"/>
          <w:jc w:val="center"/>
        </w:trPr>
        <w:tc>
          <w:tcPr>
            <w:tcW w:w="2943" w:type="dxa"/>
            <w:shd w:val="clear" w:color="auto" w:fill="auto"/>
            <w:tcMar>
              <w:top w:w="20" w:type="dxa"/>
              <w:left w:w="20" w:type="dxa"/>
              <w:bottom w:w="100" w:type="dxa"/>
              <w:right w:w="20" w:type="dxa"/>
            </w:tcMar>
            <w:vAlign w:val="bottom"/>
          </w:tcPr>
          <w:p w14:paraId="28DEF276">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s-ES" w:eastAsia="zh-CN" w:bidi="ar"/>
              </w:rPr>
            </w:pPr>
            <w:r>
              <w:rPr>
                <w:rFonts w:hint="default" w:ascii="Arial Regular" w:hAnsi="Arial Regular" w:eastAsia="SimSun" w:cs="Arial Regular"/>
                <w:i w:val="0"/>
                <w:iCs w:val="0"/>
                <w:color w:val="000000"/>
                <w:kern w:val="0"/>
                <w:sz w:val="22"/>
                <w:szCs w:val="22"/>
                <w:highlight w:val="none"/>
                <w:u w:val="none"/>
                <w:lang w:val="es-ES" w:eastAsia="zh-CN" w:bidi="ar"/>
              </w:rPr>
              <w:t>2</w:t>
            </w:r>
          </w:p>
          <w:p w14:paraId="68AC10E9">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1/april/2019-31/march/2020</w:t>
            </w:r>
          </w:p>
        </w:tc>
        <w:tc>
          <w:tcPr>
            <w:tcW w:w="1307" w:type="dxa"/>
            <w:vAlign w:val="bottom"/>
          </w:tcPr>
          <w:p w14:paraId="05AC635B">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14,911</w:t>
            </w:r>
          </w:p>
        </w:tc>
      </w:tr>
      <w:tr w14:paraId="3B887BEB">
        <w:trPr>
          <w:trHeight w:val="50" w:hRule="atLeast"/>
          <w:jc w:val="center"/>
        </w:trPr>
        <w:tc>
          <w:tcPr>
            <w:tcW w:w="2943" w:type="dxa"/>
            <w:shd w:val="clear" w:color="auto" w:fill="auto"/>
            <w:tcMar>
              <w:top w:w="20" w:type="dxa"/>
              <w:left w:w="20" w:type="dxa"/>
              <w:bottom w:w="100" w:type="dxa"/>
              <w:right w:w="20" w:type="dxa"/>
            </w:tcMar>
            <w:vAlign w:val="bottom"/>
          </w:tcPr>
          <w:p w14:paraId="3CBDABE5">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s-ES" w:eastAsia="zh-CN" w:bidi="ar"/>
              </w:rPr>
            </w:pPr>
            <w:r>
              <w:rPr>
                <w:rFonts w:hint="default" w:ascii="Arial Regular" w:hAnsi="Arial Regular" w:eastAsia="SimSun" w:cs="Arial Regular"/>
                <w:i w:val="0"/>
                <w:iCs w:val="0"/>
                <w:color w:val="000000"/>
                <w:kern w:val="0"/>
                <w:sz w:val="22"/>
                <w:szCs w:val="22"/>
                <w:highlight w:val="none"/>
                <w:u w:val="none"/>
                <w:lang w:val="es-ES" w:eastAsia="zh-CN" w:bidi="ar"/>
              </w:rPr>
              <w:t>3</w:t>
            </w:r>
          </w:p>
          <w:p w14:paraId="4FE915DA">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1/april/2020-31/march/2021</w:t>
            </w:r>
          </w:p>
        </w:tc>
        <w:tc>
          <w:tcPr>
            <w:tcW w:w="1307" w:type="dxa"/>
            <w:vAlign w:val="bottom"/>
          </w:tcPr>
          <w:p w14:paraId="6DDFD9C4">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12,540</w:t>
            </w:r>
          </w:p>
        </w:tc>
      </w:tr>
      <w:tr w14:paraId="192F0845">
        <w:trPr>
          <w:trHeight w:val="50" w:hRule="atLeast"/>
          <w:jc w:val="center"/>
        </w:trPr>
        <w:tc>
          <w:tcPr>
            <w:tcW w:w="2943" w:type="dxa"/>
            <w:shd w:val="clear" w:color="auto" w:fill="auto"/>
            <w:tcMar>
              <w:top w:w="20" w:type="dxa"/>
              <w:left w:w="20" w:type="dxa"/>
              <w:bottom w:w="100" w:type="dxa"/>
              <w:right w:w="20" w:type="dxa"/>
            </w:tcMar>
            <w:vAlign w:val="bottom"/>
          </w:tcPr>
          <w:p w14:paraId="2B7BBFA8">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s-ES" w:eastAsia="zh-CN" w:bidi="ar"/>
              </w:rPr>
            </w:pPr>
            <w:r>
              <w:rPr>
                <w:rFonts w:hint="default" w:ascii="Arial Regular" w:hAnsi="Arial Regular" w:eastAsia="SimSun" w:cs="Arial Regular"/>
                <w:i w:val="0"/>
                <w:iCs w:val="0"/>
                <w:color w:val="000000"/>
                <w:kern w:val="0"/>
                <w:sz w:val="22"/>
                <w:szCs w:val="22"/>
                <w:highlight w:val="none"/>
                <w:u w:val="none"/>
                <w:lang w:val="es-ES" w:eastAsia="zh-CN" w:bidi="ar"/>
              </w:rPr>
              <w:t>4</w:t>
            </w:r>
          </w:p>
          <w:p w14:paraId="4F229AF8">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1/april/2021-31/march/2022</w:t>
            </w:r>
          </w:p>
        </w:tc>
        <w:tc>
          <w:tcPr>
            <w:tcW w:w="1307" w:type="dxa"/>
            <w:vAlign w:val="bottom"/>
          </w:tcPr>
          <w:p w14:paraId="57CFF2FB">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15,164</w:t>
            </w:r>
          </w:p>
        </w:tc>
      </w:tr>
      <w:tr w14:paraId="7A244D8E">
        <w:trPr>
          <w:trHeight w:val="62" w:hRule="atLeast"/>
          <w:jc w:val="center"/>
        </w:trPr>
        <w:tc>
          <w:tcPr>
            <w:tcW w:w="2943" w:type="dxa"/>
            <w:shd w:val="clear" w:color="auto" w:fill="auto"/>
            <w:tcMar>
              <w:top w:w="20" w:type="dxa"/>
              <w:left w:w="20" w:type="dxa"/>
              <w:bottom w:w="100" w:type="dxa"/>
              <w:right w:w="20" w:type="dxa"/>
            </w:tcMar>
            <w:vAlign w:val="bottom"/>
          </w:tcPr>
          <w:p w14:paraId="48BF3F0D">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s-ES" w:eastAsia="zh-CN" w:bidi="ar"/>
              </w:rPr>
            </w:pPr>
            <w:r>
              <w:rPr>
                <w:rFonts w:hint="default" w:ascii="Arial Regular" w:hAnsi="Arial Regular" w:eastAsia="SimSun" w:cs="Arial Regular"/>
                <w:i w:val="0"/>
                <w:iCs w:val="0"/>
                <w:color w:val="000000"/>
                <w:kern w:val="0"/>
                <w:sz w:val="22"/>
                <w:szCs w:val="22"/>
                <w:highlight w:val="none"/>
                <w:u w:val="none"/>
                <w:lang w:val="es-ES" w:eastAsia="zh-CN" w:bidi="ar"/>
              </w:rPr>
              <w:t>5</w:t>
            </w:r>
          </w:p>
          <w:p w14:paraId="5880F0BA">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1/april/2022-31/march/2023</w:t>
            </w:r>
          </w:p>
        </w:tc>
        <w:tc>
          <w:tcPr>
            <w:tcW w:w="1307" w:type="dxa"/>
            <w:vAlign w:val="bottom"/>
          </w:tcPr>
          <w:p w14:paraId="61F2388C">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14,606</w:t>
            </w:r>
          </w:p>
        </w:tc>
      </w:tr>
      <w:tr w14:paraId="609DCA58">
        <w:trPr>
          <w:trHeight w:val="357" w:hRule="atLeast"/>
          <w:jc w:val="center"/>
        </w:trPr>
        <w:tc>
          <w:tcPr>
            <w:tcW w:w="2943" w:type="dxa"/>
            <w:shd w:val="clear" w:color="auto" w:fill="auto"/>
            <w:tcMar>
              <w:top w:w="20" w:type="dxa"/>
              <w:left w:w="20" w:type="dxa"/>
              <w:bottom w:w="100" w:type="dxa"/>
              <w:right w:w="20" w:type="dxa"/>
            </w:tcMar>
          </w:tcPr>
          <w:p w14:paraId="4AD713CF">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s-E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TOTAL</w:t>
            </w:r>
            <w:r>
              <w:rPr>
                <w:rFonts w:hint="default" w:ascii="Arial Regular" w:hAnsi="Arial Regular" w:eastAsia="SimSun" w:cs="Arial Regular"/>
                <w:i w:val="0"/>
                <w:iCs w:val="0"/>
                <w:color w:val="000000"/>
                <w:kern w:val="0"/>
                <w:sz w:val="22"/>
                <w:szCs w:val="22"/>
                <w:highlight w:val="none"/>
                <w:u w:val="none"/>
                <w:lang w:val="es-ES" w:eastAsia="zh-CN" w:bidi="ar"/>
              </w:rPr>
              <w:t xml:space="preserve"> (t CO</w:t>
            </w:r>
            <w:r>
              <w:rPr>
                <w:rFonts w:hint="default" w:ascii="Arial Regular" w:hAnsi="Arial Regular" w:eastAsia="SimSun" w:cs="Arial Regular"/>
                <w:i w:val="0"/>
                <w:iCs w:val="0"/>
                <w:color w:val="000000"/>
                <w:kern w:val="0"/>
                <w:sz w:val="22"/>
                <w:szCs w:val="22"/>
                <w:highlight w:val="none"/>
                <w:u w:val="none"/>
                <w:vertAlign w:val="subscript"/>
                <w:lang w:val="es-ES" w:eastAsia="zh-CN" w:bidi="ar"/>
              </w:rPr>
              <w:t>2</w:t>
            </w:r>
            <w:r>
              <w:rPr>
                <w:rFonts w:hint="default" w:ascii="Arial Regular" w:hAnsi="Arial Regular" w:eastAsia="SimSun" w:cs="Arial Regular"/>
                <w:i w:val="0"/>
                <w:iCs w:val="0"/>
                <w:color w:val="000000"/>
                <w:kern w:val="0"/>
                <w:sz w:val="22"/>
                <w:szCs w:val="22"/>
                <w:highlight w:val="none"/>
                <w:u w:val="none"/>
                <w:lang w:val="es-ES" w:eastAsia="zh-CN" w:bidi="ar"/>
              </w:rPr>
              <w:t xml:space="preserve"> e)</w:t>
            </w:r>
          </w:p>
        </w:tc>
        <w:tc>
          <w:tcPr>
            <w:tcW w:w="1307" w:type="dxa"/>
            <w:vAlign w:val="bottom"/>
          </w:tcPr>
          <w:p w14:paraId="566018EC">
            <w:pPr>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textAlignment w:val="bottom"/>
              <w:rPr>
                <w:rFonts w:hint="default" w:ascii="Arial Regular" w:hAnsi="Arial Regular" w:eastAsia="SimSun" w:cs="Arial Regular"/>
                <w:i w:val="0"/>
                <w:iCs w:val="0"/>
                <w:color w:val="000000"/>
                <w:kern w:val="0"/>
                <w:sz w:val="22"/>
                <w:szCs w:val="22"/>
                <w:highlight w:val="none"/>
                <w:u w:val="none"/>
                <w:lang w:val="es-ES" w:eastAsia="zh-CN" w:bidi="ar"/>
              </w:rPr>
            </w:pPr>
            <w:r>
              <w:rPr>
                <w:rFonts w:hint="default" w:ascii="Arial Regular" w:hAnsi="Arial Regular" w:eastAsia="SimSun" w:cs="Arial Regular"/>
                <w:i w:val="0"/>
                <w:iCs w:val="0"/>
                <w:color w:val="000000"/>
                <w:kern w:val="0"/>
                <w:sz w:val="22"/>
                <w:szCs w:val="22"/>
                <w:highlight w:val="none"/>
                <w:u w:val="none"/>
                <w:lang w:val="es-ES" w:eastAsia="zh-CN" w:bidi="ar"/>
              </w:rPr>
              <w:t>59,574</w:t>
            </w:r>
          </w:p>
        </w:tc>
      </w:tr>
    </w:tbl>
    <w:p w14:paraId="02739226">
      <w:pPr>
        <w:rPr>
          <w:highlight w:val="none"/>
        </w:rPr>
      </w:pPr>
    </w:p>
    <w:p w14:paraId="73ED636B">
      <w:pPr>
        <w:pStyle w:val="3"/>
        <w:rPr>
          <w:highlight w:val="none"/>
        </w:rPr>
      </w:pPr>
      <w:bookmarkStart w:id="129" w:name="_Toc1844546083"/>
      <w:r>
        <w:rPr>
          <w:highlight w:val="none"/>
        </w:rPr>
        <w:t>Project emissions/removals</w:t>
      </w:r>
      <w:bookmarkEnd w:id="129"/>
    </w:p>
    <w:p w14:paraId="7CB44377">
      <w:pPr>
        <w:spacing w:after="0"/>
        <w:rPr>
          <w:rFonts w:eastAsia="Arial"/>
          <w:highlight w:val="none"/>
          <w:lang w:val="en-US"/>
        </w:rPr>
      </w:pPr>
      <w:r>
        <w:rPr>
          <w:rFonts w:eastAsia="Arial"/>
          <w:highlight w:val="none"/>
          <w:lang w:val="en-US"/>
        </w:rPr>
        <w:t>Project emissions from composting process (</w:t>
      </w: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𝑦</w:t>
      </w:r>
      <w:r>
        <w:rPr>
          <w:rFonts w:eastAsia="Arial"/>
          <w:highlight w:val="none"/>
          <w:lang w:val="en-US"/>
        </w:rPr>
        <w:t>) will be determined as per the methodological tool “Project and leakage emissions from composting”, version 2. As per the tool the project emission from composting is calculated as below:</w:t>
      </w:r>
    </w:p>
    <w:p w14:paraId="5CB90CE4">
      <w:pPr>
        <w:spacing w:after="0"/>
        <w:ind w:firstLine="708"/>
        <w:jc w:val="center"/>
        <w:rPr>
          <w:rFonts w:eastAsia="Arial"/>
          <w:highlight w:val="none"/>
          <w:vertAlign w:val="subscript"/>
          <w:lang w:val="en-US"/>
        </w:rPr>
      </w:pPr>
      <w:r>
        <w:rPr>
          <w:rFonts w:eastAsia="Times New Roman"/>
          <w:highlight w:val="none"/>
          <w:lang w:val="en-US"/>
        </w:rPr>
        <w:t>PE</w:t>
      </w:r>
      <w:r>
        <w:rPr>
          <w:rFonts w:eastAsia="Times New Roman"/>
          <w:highlight w:val="none"/>
          <w:vertAlign w:val="subscript"/>
          <w:lang w:val="en-US"/>
        </w:rPr>
        <w:t>y</w:t>
      </w:r>
      <w:r>
        <w:rPr>
          <w:rFonts w:eastAsia="Times New Roman"/>
          <w:highlight w:val="none"/>
          <w:lang w:val="en-US"/>
        </w:rPr>
        <w:t xml:space="preserve"> = </w:t>
      </w: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𝐶𝑂𝑀𝑃</w:t>
      </w:r>
      <w:r>
        <w:rPr>
          <w:rFonts w:eastAsia="Arial"/>
          <w:highlight w:val="none"/>
          <w:vertAlign w:val="subscript"/>
          <w:lang w:val="en-US"/>
        </w:rPr>
        <w:t>,y</w:t>
      </w:r>
      <w:r>
        <w:rPr>
          <w:rFonts w:eastAsia="Arial"/>
          <w:highlight w:val="none"/>
          <w:lang w:val="en-US"/>
        </w:rPr>
        <w:t xml:space="preserve"> = </w:t>
      </w: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𝐸𝐶</w:t>
      </w:r>
      <w:r>
        <w:rPr>
          <w:rFonts w:eastAsia="Arial"/>
          <w:highlight w:val="none"/>
          <w:vertAlign w:val="subscript"/>
          <w:lang w:val="en-US"/>
        </w:rPr>
        <w:t xml:space="preserve">,y </w:t>
      </w:r>
      <w:r>
        <w:rPr>
          <w:rFonts w:eastAsia="Arial"/>
          <w:highlight w:val="none"/>
          <w:lang w:val="en-US"/>
        </w:rPr>
        <w:t xml:space="preserve">+ </w:t>
      </w: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𝐹𝐶</w:t>
      </w:r>
      <w:r>
        <w:rPr>
          <w:rFonts w:eastAsia="Arial"/>
          <w:highlight w:val="none"/>
          <w:vertAlign w:val="subscript"/>
          <w:lang w:val="en-US"/>
        </w:rPr>
        <w:t>,</w:t>
      </w:r>
      <w:r>
        <w:rPr>
          <w:rFonts w:ascii="Cambria Math" w:hAnsi="Cambria Math" w:eastAsia="Times New Roman" w:cs="Cambria Math"/>
          <w:highlight w:val="none"/>
          <w:vertAlign w:val="subscript"/>
          <w:lang w:val="en-US"/>
        </w:rPr>
        <w:t>𝑦</w:t>
      </w:r>
      <w:r>
        <w:rPr>
          <w:rFonts w:eastAsia="Arial"/>
          <w:highlight w:val="none"/>
          <w:vertAlign w:val="subscript"/>
          <w:lang w:val="en-US"/>
        </w:rPr>
        <w:t xml:space="preserve"> </w:t>
      </w:r>
      <w:r>
        <w:rPr>
          <w:rFonts w:eastAsia="Arial"/>
          <w:highlight w:val="none"/>
          <w:lang w:val="en-US"/>
        </w:rPr>
        <w:t xml:space="preserve">+ </w:t>
      </w: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𝐶𝐻</w:t>
      </w:r>
      <w:r>
        <w:rPr>
          <w:rFonts w:eastAsia="Arial"/>
          <w:highlight w:val="none"/>
          <w:vertAlign w:val="subscript"/>
          <w:lang w:val="en-US"/>
        </w:rPr>
        <w:t>4,</w:t>
      </w:r>
      <w:r>
        <w:rPr>
          <w:rFonts w:ascii="Cambria Math" w:hAnsi="Cambria Math" w:eastAsia="Times New Roman" w:cs="Cambria Math"/>
          <w:highlight w:val="none"/>
          <w:vertAlign w:val="subscript"/>
          <w:lang w:val="en-US"/>
        </w:rPr>
        <w:t>𝑦</w:t>
      </w:r>
      <w:r>
        <w:rPr>
          <w:rFonts w:eastAsia="Arial"/>
          <w:highlight w:val="none"/>
          <w:vertAlign w:val="subscript"/>
          <w:lang w:val="en-US"/>
        </w:rPr>
        <w:t xml:space="preserve"> </w:t>
      </w:r>
      <w:r>
        <w:rPr>
          <w:rFonts w:eastAsia="Arial"/>
          <w:highlight w:val="none"/>
          <w:lang w:val="en-US"/>
        </w:rPr>
        <w:t xml:space="preserve">+ </w:t>
      </w: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𝑁</w:t>
      </w:r>
      <w:r>
        <w:rPr>
          <w:rFonts w:eastAsia="Arial"/>
          <w:highlight w:val="none"/>
          <w:vertAlign w:val="subscript"/>
          <w:lang w:val="en-US"/>
        </w:rPr>
        <w:t>2O,</w:t>
      </w:r>
      <w:r>
        <w:rPr>
          <w:rFonts w:ascii="Cambria Math" w:hAnsi="Cambria Math" w:eastAsia="Times New Roman" w:cs="Cambria Math"/>
          <w:highlight w:val="none"/>
          <w:vertAlign w:val="subscript"/>
          <w:lang w:val="en-US"/>
        </w:rPr>
        <w:t>𝑦</w:t>
      </w:r>
      <w:r>
        <w:rPr>
          <w:rFonts w:eastAsia="Arial"/>
          <w:highlight w:val="none"/>
          <w:vertAlign w:val="subscript"/>
          <w:lang w:val="en-US"/>
        </w:rPr>
        <w:t xml:space="preserve"> </w:t>
      </w:r>
      <w:r>
        <w:rPr>
          <w:rFonts w:eastAsia="Arial"/>
          <w:highlight w:val="none"/>
          <w:lang w:val="en-US"/>
        </w:rPr>
        <w:t xml:space="preserve">+ </w:t>
      </w: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𝑅𝑂</w:t>
      </w:r>
      <w:r>
        <w:rPr>
          <w:rFonts w:eastAsia="Arial"/>
          <w:highlight w:val="none"/>
          <w:vertAlign w:val="subscript"/>
          <w:lang w:val="en-US"/>
        </w:rPr>
        <w:t>,y</w:t>
      </w:r>
    </w:p>
    <w:p w14:paraId="4A87C128">
      <w:pPr>
        <w:spacing w:after="0"/>
        <w:rPr>
          <w:rFonts w:eastAsia="Arial"/>
          <w:highlight w:val="none"/>
          <w:lang w:val="en-US"/>
        </w:rPr>
      </w:pPr>
      <w:r>
        <w:rPr>
          <w:rFonts w:eastAsia="Arial"/>
          <w:highlight w:val="none"/>
          <w:lang w:val="en-US"/>
        </w:rPr>
        <w:t>Where:</w:t>
      </w:r>
    </w:p>
    <w:tbl>
      <w:tblPr>
        <w:tblStyle w:val="12"/>
        <w:tblW w:w="85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3"/>
        <w:gridCol w:w="283"/>
        <w:gridCol w:w="7229"/>
      </w:tblGrid>
      <w:tr w14:paraId="034ED23D">
        <w:trPr>
          <w:trHeight w:val="90" w:hRule="atLeast"/>
        </w:trPr>
        <w:tc>
          <w:tcPr>
            <w:tcW w:w="993" w:type="dxa"/>
            <w:tcBorders>
              <w:top w:val="nil"/>
              <w:left w:val="nil"/>
              <w:bottom w:val="nil"/>
              <w:right w:val="nil"/>
            </w:tcBorders>
            <w:tcMar>
              <w:top w:w="80" w:type="dxa"/>
              <w:left w:w="100" w:type="dxa"/>
              <w:bottom w:w="20" w:type="dxa"/>
              <w:right w:w="100" w:type="dxa"/>
            </w:tcMar>
          </w:tcPr>
          <w:p w14:paraId="776A514B">
            <w:pPr>
              <w:keepNext w:val="0"/>
              <w:keepLines w:val="0"/>
              <w:pageBreakBefore w:val="0"/>
              <w:widowControl/>
              <w:kinsoku/>
              <w:wordWrap/>
              <w:overflowPunct/>
              <w:topLinePunct w:val="0"/>
              <w:autoSpaceDE/>
              <w:autoSpaceDN/>
              <w:bidi w:val="0"/>
              <w:adjustRightInd/>
              <w:snapToGrid/>
              <w:spacing w:before="0" w:after="0"/>
              <w:jc w:val="right"/>
              <w:textAlignment w:val="auto"/>
              <w:rPr>
                <w:rFonts w:eastAsia="Times New Roman"/>
                <w:highlight w:val="none"/>
                <w:vertAlign w:val="subscript"/>
                <w:lang w:val="en-US"/>
              </w:rPr>
            </w:pP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𝐶𝑂𝑀𝑃</w:t>
            </w:r>
            <w:r>
              <w:rPr>
                <w:rFonts w:eastAsia="Arial"/>
                <w:highlight w:val="none"/>
                <w:vertAlign w:val="subscript"/>
                <w:lang w:val="en-US"/>
              </w:rPr>
              <w:t>,</w:t>
            </w:r>
            <w:r>
              <w:rPr>
                <w:rFonts w:ascii="Cambria Math" w:hAnsi="Cambria Math" w:eastAsia="Times New Roman" w:cs="Cambria Math"/>
                <w:highlight w:val="none"/>
                <w:vertAlign w:val="subscript"/>
                <w:lang w:val="en-US"/>
              </w:rPr>
              <w:t>𝑦</w:t>
            </w:r>
          </w:p>
        </w:tc>
        <w:tc>
          <w:tcPr>
            <w:tcW w:w="283" w:type="dxa"/>
            <w:tcBorders>
              <w:top w:val="nil"/>
              <w:left w:val="nil"/>
              <w:bottom w:val="nil"/>
              <w:right w:val="nil"/>
            </w:tcBorders>
            <w:tcMar>
              <w:top w:w="80" w:type="dxa"/>
              <w:left w:w="100" w:type="dxa"/>
              <w:bottom w:w="20" w:type="dxa"/>
              <w:right w:w="100" w:type="dxa"/>
            </w:tcMar>
          </w:tcPr>
          <w:p w14:paraId="0EA6122C">
            <w:pPr>
              <w:keepNext w:val="0"/>
              <w:keepLines w:val="0"/>
              <w:pageBreakBefore w:val="0"/>
              <w:widowControl/>
              <w:kinsoku/>
              <w:wordWrap/>
              <w:overflowPunct/>
              <w:topLinePunct w:val="0"/>
              <w:autoSpaceDE/>
              <w:autoSpaceDN/>
              <w:bidi w:val="0"/>
              <w:adjustRightInd/>
              <w:snapToGrid/>
              <w:spacing w:before="0" w:after="0"/>
              <w:textAlignment w:val="auto"/>
              <w:rPr>
                <w:highlight w:val="none"/>
                <w:lang w:val="en-US"/>
              </w:rPr>
            </w:pPr>
            <w:r>
              <w:rPr>
                <w:highlight w:val="none"/>
                <w:lang w:val="en-US"/>
              </w:rPr>
              <w:t>=</w:t>
            </w:r>
          </w:p>
        </w:tc>
        <w:tc>
          <w:tcPr>
            <w:tcW w:w="7229" w:type="dxa"/>
            <w:tcBorders>
              <w:top w:val="nil"/>
              <w:left w:val="nil"/>
              <w:bottom w:val="nil"/>
              <w:right w:val="nil"/>
            </w:tcBorders>
            <w:tcMar>
              <w:top w:w="80" w:type="dxa"/>
              <w:left w:w="100" w:type="dxa"/>
              <w:bottom w:w="20" w:type="dxa"/>
              <w:right w:w="100" w:type="dxa"/>
            </w:tcMar>
          </w:tcPr>
          <w:p w14:paraId="77086B17">
            <w:pPr>
              <w:keepNext w:val="0"/>
              <w:keepLines w:val="0"/>
              <w:pageBreakBefore w:val="0"/>
              <w:widowControl/>
              <w:kinsoku/>
              <w:wordWrap/>
              <w:overflowPunct/>
              <w:topLinePunct w:val="0"/>
              <w:autoSpaceDE/>
              <w:autoSpaceDN/>
              <w:bidi w:val="0"/>
              <w:adjustRightInd/>
              <w:snapToGrid/>
              <w:spacing w:before="0" w:after="0"/>
              <w:textAlignment w:val="auto"/>
              <w:rPr>
                <w:rFonts w:eastAsia="Arial"/>
                <w:highlight w:val="none"/>
                <w:lang w:val="en-US"/>
              </w:rPr>
            </w:pPr>
            <w:r>
              <w:rPr>
                <w:rFonts w:eastAsia="Arial"/>
                <w:highlight w:val="none"/>
                <w:lang w:val="en-US"/>
              </w:rPr>
              <w:t>Project emissions associated with composting in year y (t CO</w:t>
            </w:r>
            <w:r>
              <w:rPr>
                <w:rFonts w:eastAsia="Arial"/>
                <w:highlight w:val="none"/>
                <w:vertAlign w:val="subscript"/>
                <w:lang w:val="en-US"/>
              </w:rPr>
              <w:t>2</w:t>
            </w:r>
            <w:r>
              <w:rPr>
                <w:rFonts w:eastAsia="Arial"/>
                <w:highlight w:val="none"/>
                <w:lang w:val="en-US"/>
              </w:rPr>
              <w:t>e/yr)</w:t>
            </w:r>
          </w:p>
        </w:tc>
      </w:tr>
      <w:tr w14:paraId="1DD37127">
        <w:trPr>
          <w:trHeight w:val="90" w:hRule="atLeast"/>
        </w:trPr>
        <w:tc>
          <w:tcPr>
            <w:tcW w:w="993" w:type="dxa"/>
            <w:tcBorders>
              <w:top w:val="nil"/>
              <w:left w:val="nil"/>
              <w:bottom w:val="nil"/>
              <w:right w:val="nil"/>
            </w:tcBorders>
            <w:tcMar>
              <w:top w:w="80" w:type="dxa"/>
              <w:left w:w="100" w:type="dxa"/>
              <w:bottom w:w="20" w:type="dxa"/>
              <w:right w:w="100" w:type="dxa"/>
            </w:tcMar>
          </w:tcPr>
          <w:p w14:paraId="4002824B">
            <w:pPr>
              <w:keepNext w:val="0"/>
              <w:keepLines w:val="0"/>
              <w:pageBreakBefore w:val="0"/>
              <w:widowControl/>
              <w:kinsoku/>
              <w:wordWrap/>
              <w:overflowPunct/>
              <w:topLinePunct w:val="0"/>
              <w:autoSpaceDE/>
              <w:autoSpaceDN/>
              <w:bidi w:val="0"/>
              <w:adjustRightInd/>
              <w:snapToGrid/>
              <w:spacing w:before="0" w:after="0"/>
              <w:jc w:val="right"/>
              <w:textAlignment w:val="auto"/>
              <w:rPr>
                <w:rFonts w:eastAsia="Times New Roman"/>
                <w:highlight w:val="none"/>
                <w:vertAlign w:val="subscript"/>
                <w:lang w:val="en-US"/>
              </w:rPr>
            </w:pP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𝐸𝐶</w:t>
            </w:r>
            <w:r>
              <w:rPr>
                <w:rFonts w:eastAsia="Arial"/>
                <w:highlight w:val="none"/>
                <w:vertAlign w:val="subscript"/>
                <w:lang w:val="en-US"/>
              </w:rPr>
              <w:t>,</w:t>
            </w:r>
            <w:r>
              <w:rPr>
                <w:rFonts w:ascii="Cambria Math" w:hAnsi="Cambria Math" w:eastAsia="Times New Roman" w:cs="Cambria Math"/>
                <w:highlight w:val="none"/>
                <w:vertAlign w:val="subscript"/>
                <w:lang w:val="en-US"/>
              </w:rPr>
              <w:t>𝑦</w:t>
            </w:r>
          </w:p>
        </w:tc>
        <w:tc>
          <w:tcPr>
            <w:tcW w:w="283" w:type="dxa"/>
            <w:tcBorders>
              <w:top w:val="nil"/>
              <w:left w:val="nil"/>
              <w:bottom w:val="nil"/>
              <w:right w:val="nil"/>
            </w:tcBorders>
            <w:tcMar>
              <w:top w:w="80" w:type="dxa"/>
              <w:left w:w="100" w:type="dxa"/>
              <w:bottom w:w="20" w:type="dxa"/>
              <w:right w:w="100" w:type="dxa"/>
            </w:tcMar>
          </w:tcPr>
          <w:p w14:paraId="491C26F6">
            <w:pPr>
              <w:keepNext w:val="0"/>
              <w:keepLines w:val="0"/>
              <w:pageBreakBefore w:val="0"/>
              <w:widowControl/>
              <w:kinsoku/>
              <w:wordWrap/>
              <w:overflowPunct/>
              <w:topLinePunct w:val="0"/>
              <w:autoSpaceDE/>
              <w:autoSpaceDN/>
              <w:bidi w:val="0"/>
              <w:adjustRightInd/>
              <w:snapToGrid/>
              <w:spacing w:before="0" w:after="0"/>
              <w:textAlignment w:val="auto"/>
              <w:rPr>
                <w:highlight w:val="none"/>
                <w:lang w:val="en-US"/>
              </w:rPr>
            </w:pPr>
            <w:r>
              <w:rPr>
                <w:highlight w:val="none"/>
                <w:lang w:val="en-US"/>
              </w:rPr>
              <w:t>=</w:t>
            </w:r>
          </w:p>
        </w:tc>
        <w:tc>
          <w:tcPr>
            <w:tcW w:w="7229" w:type="dxa"/>
            <w:tcBorders>
              <w:top w:val="nil"/>
              <w:left w:val="nil"/>
              <w:bottom w:val="nil"/>
              <w:right w:val="nil"/>
            </w:tcBorders>
            <w:tcMar>
              <w:top w:w="80" w:type="dxa"/>
              <w:left w:w="100" w:type="dxa"/>
              <w:bottom w:w="20" w:type="dxa"/>
              <w:right w:w="100" w:type="dxa"/>
            </w:tcMar>
          </w:tcPr>
          <w:p w14:paraId="4CAA7716">
            <w:pPr>
              <w:keepNext w:val="0"/>
              <w:keepLines w:val="0"/>
              <w:pageBreakBefore w:val="0"/>
              <w:widowControl/>
              <w:kinsoku/>
              <w:wordWrap/>
              <w:overflowPunct/>
              <w:topLinePunct w:val="0"/>
              <w:autoSpaceDE/>
              <w:autoSpaceDN/>
              <w:bidi w:val="0"/>
              <w:adjustRightInd/>
              <w:snapToGrid/>
              <w:spacing w:before="0" w:after="0"/>
              <w:textAlignment w:val="auto"/>
              <w:rPr>
                <w:rFonts w:eastAsia="Arial"/>
                <w:highlight w:val="none"/>
                <w:lang w:val="en-US"/>
              </w:rPr>
            </w:pPr>
            <w:r>
              <w:rPr>
                <w:rFonts w:eastAsia="Arial"/>
                <w:highlight w:val="none"/>
                <w:lang w:val="en-US"/>
              </w:rPr>
              <w:t>Project emissions from electricity consumption associated with composting in year y (t CO</w:t>
            </w:r>
            <w:r>
              <w:rPr>
                <w:rFonts w:eastAsia="Arial"/>
                <w:highlight w:val="none"/>
                <w:vertAlign w:val="subscript"/>
                <w:lang w:val="en-US"/>
              </w:rPr>
              <w:t>2</w:t>
            </w:r>
            <w:r>
              <w:rPr>
                <w:rFonts w:eastAsia="Arial"/>
                <w:highlight w:val="none"/>
                <w:lang w:val="en-US"/>
              </w:rPr>
              <w:t>/yr)</w:t>
            </w:r>
          </w:p>
        </w:tc>
      </w:tr>
      <w:tr w14:paraId="70692E7D">
        <w:trPr>
          <w:trHeight w:val="105" w:hRule="atLeast"/>
        </w:trPr>
        <w:tc>
          <w:tcPr>
            <w:tcW w:w="993" w:type="dxa"/>
            <w:tcBorders>
              <w:top w:val="nil"/>
              <w:left w:val="nil"/>
              <w:bottom w:val="nil"/>
              <w:right w:val="nil"/>
            </w:tcBorders>
            <w:tcMar>
              <w:top w:w="80" w:type="dxa"/>
              <w:left w:w="100" w:type="dxa"/>
              <w:bottom w:w="20" w:type="dxa"/>
              <w:right w:w="100" w:type="dxa"/>
            </w:tcMar>
          </w:tcPr>
          <w:p w14:paraId="32CE9BAB">
            <w:pPr>
              <w:keepNext w:val="0"/>
              <w:keepLines w:val="0"/>
              <w:pageBreakBefore w:val="0"/>
              <w:widowControl/>
              <w:kinsoku/>
              <w:wordWrap/>
              <w:overflowPunct/>
              <w:topLinePunct w:val="0"/>
              <w:autoSpaceDE/>
              <w:autoSpaceDN/>
              <w:bidi w:val="0"/>
              <w:adjustRightInd/>
              <w:snapToGrid/>
              <w:spacing w:before="0" w:after="0"/>
              <w:jc w:val="right"/>
              <w:textAlignment w:val="auto"/>
              <w:rPr>
                <w:rFonts w:eastAsia="Times New Roman"/>
                <w:highlight w:val="none"/>
                <w:vertAlign w:val="subscript"/>
                <w:lang w:val="en-US"/>
              </w:rPr>
            </w:pP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𝐹𝐶</w:t>
            </w:r>
            <w:r>
              <w:rPr>
                <w:rFonts w:eastAsia="Arial"/>
                <w:highlight w:val="none"/>
                <w:vertAlign w:val="subscript"/>
                <w:lang w:val="en-US"/>
              </w:rPr>
              <w:t>,</w:t>
            </w:r>
            <w:r>
              <w:rPr>
                <w:rFonts w:ascii="Cambria Math" w:hAnsi="Cambria Math" w:eastAsia="Times New Roman" w:cs="Cambria Math"/>
                <w:highlight w:val="none"/>
                <w:vertAlign w:val="subscript"/>
                <w:lang w:val="en-US"/>
              </w:rPr>
              <w:t>𝑦</w:t>
            </w:r>
          </w:p>
        </w:tc>
        <w:tc>
          <w:tcPr>
            <w:tcW w:w="283" w:type="dxa"/>
            <w:tcBorders>
              <w:top w:val="nil"/>
              <w:left w:val="nil"/>
              <w:bottom w:val="nil"/>
              <w:right w:val="nil"/>
            </w:tcBorders>
            <w:tcMar>
              <w:top w:w="80" w:type="dxa"/>
              <w:left w:w="100" w:type="dxa"/>
              <w:bottom w:w="20" w:type="dxa"/>
              <w:right w:w="100" w:type="dxa"/>
            </w:tcMar>
          </w:tcPr>
          <w:p w14:paraId="0CECD147">
            <w:pPr>
              <w:keepNext w:val="0"/>
              <w:keepLines w:val="0"/>
              <w:pageBreakBefore w:val="0"/>
              <w:widowControl/>
              <w:kinsoku/>
              <w:wordWrap/>
              <w:overflowPunct/>
              <w:topLinePunct w:val="0"/>
              <w:autoSpaceDE/>
              <w:autoSpaceDN/>
              <w:bidi w:val="0"/>
              <w:adjustRightInd/>
              <w:snapToGrid/>
              <w:spacing w:before="0" w:after="0"/>
              <w:textAlignment w:val="auto"/>
              <w:rPr>
                <w:highlight w:val="none"/>
                <w:lang w:val="en-US"/>
              </w:rPr>
            </w:pPr>
            <w:r>
              <w:rPr>
                <w:highlight w:val="none"/>
                <w:lang w:val="en-US"/>
              </w:rPr>
              <w:t>=</w:t>
            </w:r>
          </w:p>
        </w:tc>
        <w:tc>
          <w:tcPr>
            <w:tcW w:w="7229" w:type="dxa"/>
            <w:tcBorders>
              <w:top w:val="nil"/>
              <w:left w:val="nil"/>
              <w:bottom w:val="nil"/>
              <w:right w:val="nil"/>
            </w:tcBorders>
            <w:tcMar>
              <w:top w:w="80" w:type="dxa"/>
              <w:left w:w="100" w:type="dxa"/>
              <w:bottom w:w="20" w:type="dxa"/>
              <w:right w:w="100" w:type="dxa"/>
            </w:tcMar>
          </w:tcPr>
          <w:p w14:paraId="7FF0040A">
            <w:pPr>
              <w:keepNext w:val="0"/>
              <w:keepLines w:val="0"/>
              <w:pageBreakBefore w:val="0"/>
              <w:widowControl/>
              <w:kinsoku/>
              <w:wordWrap/>
              <w:overflowPunct/>
              <w:topLinePunct w:val="0"/>
              <w:autoSpaceDE/>
              <w:autoSpaceDN/>
              <w:bidi w:val="0"/>
              <w:adjustRightInd/>
              <w:snapToGrid/>
              <w:spacing w:before="0" w:after="0"/>
              <w:textAlignment w:val="auto"/>
              <w:rPr>
                <w:rFonts w:eastAsia="Arial"/>
                <w:highlight w:val="none"/>
                <w:lang w:val="en-US"/>
              </w:rPr>
            </w:pPr>
            <w:r>
              <w:rPr>
                <w:rFonts w:eastAsia="Arial"/>
                <w:highlight w:val="none"/>
                <w:lang w:val="en-US"/>
              </w:rPr>
              <w:t>Project emissions from fossil fuel consumption associated with composting in year y (t CO</w:t>
            </w:r>
            <w:r>
              <w:rPr>
                <w:rFonts w:eastAsia="Arial"/>
                <w:highlight w:val="none"/>
                <w:vertAlign w:val="subscript"/>
                <w:lang w:val="en-US"/>
              </w:rPr>
              <w:t>2</w:t>
            </w:r>
            <w:r>
              <w:rPr>
                <w:rFonts w:eastAsia="Arial"/>
                <w:highlight w:val="none"/>
                <w:lang w:val="en-US"/>
              </w:rPr>
              <w:t>/yr)</w:t>
            </w:r>
          </w:p>
        </w:tc>
      </w:tr>
      <w:tr w14:paraId="3627CB23">
        <w:trPr>
          <w:trHeight w:val="90" w:hRule="atLeast"/>
        </w:trPr>
        <w:tc>
          <w:tcPr>
            <w:tcW w:w="993" w:type="dxa"/>
            <w:tcBorders>
              <w:top w:val="nil"/>
              <w:left w:val="nil"/>
              <w:bottom w:val="nil"/>
              <w:right w:val="nil"/>
            </w:tcBorders>
            <w:tcMar>
              <w:top w:w="80" w:type="dxa"/>
              <w:left w:w="100" w:type="dxa"/>
              <w:bottom w:w="20" w:type="dxa"/>
              <w:right w:w="100" w:type="dxa"/>
            </w:tcMar>
          </w:tcPr>
          <w:p w14:paraId="6EBB2627">
            <w:pPr>
              <w:keepNext w:val="0"/>
              <w:keepLines w:val="0"/>
              <w:pageBreakBefore w:val="0"/>
              <w:widowControl/>
              <w:kinsoku/>
              <w:wordWrap/>
              <w:overflowPunct/>
              <w:topLinePunct w:val="0"/>
              <w:autoSpaceDE/>
              <w:autoSpaceDN/>
              <w:bidi w:val="0"/>
              <w:adjustRightInd/>
              <w:snapToGrid/>
              <w:spacing w:before="0" w:after="0"/>
              <w:jc w:val="right"/>
              <w:textAlignment w:val="auto"/>
              <w:rPr>
                <w:rFonts w:eastAsia="Times New Roman"/>
                <w:highlight w:val="none"/>
                <w:vertAlign w:val="subscript"/>
                <w:lang w:val="en-US"/>
              </w:rPr>
            </w:pP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𝐶𝐻</w:t>
            </w:r>
            <w:r>
              <w:rPr>
                <w:rFonts w:eastAsia="Arial"/>
                <w:highlight w:val="none"/>
                <w:vertAlign w:val="subscript"/>
                <w:lang w:val="en-US"/>
              </w:rPr>
              <w:t>4,</w:t>
            </w:r>
            <w:r>
              <w:rPr>
                <w:rFonts w:ascii="Cambria Math" w:hAnsi="Cambria Math" w:eastAsia="Times New Roman" w:cs="Cambria Math"/>
                <w:highlight w:val="none"/>
                <w:vertAlign w:val="subscript"/>
                <w:lang w:val="en-US"/>
              </w:rPr>
              <w:t>𝑦</w:t>
            </w:r>
          </w:p>
        </w:tc>
        <w:tc>
          <w:tcPr>
            <w:tcW w:w="283" w:type="dxa"/>
            <w:tcBorders>
              <w:top w:val="nil"/>
              <w:left w:val="nil"/>
              <w:bottom w:val="nil"/>
              <w:right w:val="nil"/>
            </w:tcBorders>
            <w:tcMar>
              <w:top w:w="80" w:type="dxa"/>
              <w:left w:w="100" w:type="dxa"/>
              <w:bottom w:w="20" w:type="dxa"/>
              <w:right w:w="100" w:type="dxa"/>
            </w:tcMar>
          </w:tcPr>
          <w:p w14:paraId="07557871">
            <w:pPr>
              <w:keepNext w:val="0"/>
              <w:keepLines w:val="0"/>
              <w:pageBreakBefore w:val="0"/>
              <w:widowControl/>
              <w:kinsoku/>
              <w:wordWrap/>
              <w:overflowPunct/>
              <w:topLinePunct w:val="0"/>
              <w:autoSpaceDE/>
              <w:autoSpaceDN/>
              <w:bidi w:val="0"/>
              <w:adjustRightInd/>
              <w:snapToGrid/>
              <w:spacing w:before="0" w:after="0"/>
              <w:textAlignment w:val="auto"/>
              <w:rPr>
                <w:highlight w:val="none"/>
                <w:lang w:val="en-US"/>
              </w:rPr>
            </w:pPr>
            <w:r>
              <w:rPr>
                <w:highlight w:val="none"/>
                <w:lang w:val="en-US"/>
              </w:rPr>
              <w:t>=</w:t>
            </w:r>
          </w:p>
        </w:tc>
        <w:tc>
          <w:tcPr>
            <w:tcW w:w="7229" w:type="dxa"/>
            <w:tcBorders>
              <w:top w:val="nil"/>
              <w:left w:val="nil"/>
              <w:bottom w:val="nil"/>
              <w:right w:val="nil"/>
            </w:tcBorders>
            <w:tcMar>
              <w:top w:w="80" w:type="dxa"/>
              <w:left w:w="100" w:type="dxa"/>
              <w:bottom w:w="20" w:type="dxa"/>
              <w:right w:w="100" w:type="dxa"/>
            </w:tcMar>
          </w:tcPr>
          <w:p w14:paraId="4079B94D">
            <w:pPr>
              <w:keepNext w:val="0"/>
              <w:keepLines w:val="0"/>
              <w:pageBreakBefore w:val="0"/>
              <w:widowControl/>
              <w:kinsoku/>
              <w:wordWrap/>
              <w:overflowPunct/>
              <w:topLinePunct w:val="0"/>
              <w:autoSpaceDE/>
              <w:autoSpaceDN/>
              <w:bidi w:val="0"/>
              <w:adjustRightInd/>
              <w:snapToGrid/>
              <w:spacing w:before="0" w:after="0"/>
              <w:textAlignment w:val="auto"/>
              <w:rPr>
                <w:rFonts w:eastAsia="Arial"/>
                <w:highlight w:val="none"/>
                <w:lang w:val="en-US"/>
              </w:rPr>
            </w:pPr>
            <w:r>
              <w:rPr>
                <w:rFonts w:eastAsia="Arial"/>
                <w:highlight w:val="none"/>
                <w:lang w:val="en-US"/>
              </w:rPr>
              <w:t>Project emissions of methane from the composting process in year y (t CO</w:t>
            </w:r>
            <w:r>
              <w:rPr>
                <w:rFonts w:eastAsia="Arial"/>
                <w:highlight w:val="none"/>
                <w:vertAlign w:val="subscript"/>
                <w:lang w:val="en-US"/>
              </w:rPr>
              <w:t>2</w:t>
            </w:r>
            <w:r>
              <w:rPr>
                <w:rFonts w:eastAsia="Arial"/>
                <w:highlight w:val="none"/>
                <w:lang w:val="en-US"/>
              </w:rPr>
              <w:t>e/yr)</w:t>
            </w:r>
          </w:p>
        </w:tc>
      </w:tr>
      <w:tr w14:paraId="3960F29F">
        <w:trPr>
          <w:trHeight w:val="90" w:hRule="atLeast"/>
        </w:trPr>
        <w:tc>
          <w:tcPr>
            <w:tcW w:w="993" w:type="dxa"/>
            <w:tcBorders>
              <w:top w:val="nil"/>
              <w:left w:val="nil"/>
              <w:bottom w:val="nil"/>
              <w:right w:val="nil"/>
            </w:tcBorders>
            <w:tcMar>
              <w:top w:w="80" w:type="dxa"/>
              <w:left w:w="100" w:type="dxa"/>
              <w:bottom w:w="20" w:type="dxa"/>
              <w:right w:w="100" w:type="dxa"/>
            </w:tcMar>
          </w:tcPr>
          <w:p w14:paraId="338F9FD5">
            <w:pPr>
              <w:keepNext w:val="0"/>
              <w:keepLines w:val="0"/>
              <w:pageBreakBefore w:val="0"/>
              <w:widowControl/>
              <w:kinsoku/>
              <w:wordWrap/>
              <w:overflowPunct/>
              <w:topLinePunct w:val="0"/>
              <w:autoSpaceDE/>
              <w:autoSpaceDN/>
              <w:bidi w:val="0"/>
              <w:adjustRightInd/>
              <w:snapToGrid/>
              <w:spacing w:before="0" w:after="0"/>
              <w:jc w:val="right"/>
              <w:textAlignment w:val="auto"/>
              <w:rPr>
                <w:rFonts w:eastAsia="Times New Roman"/>
                <w:highlight w:val="none"/>
                <w:vertAlign w:val="subscript"/>
                <w:lang w:val="en-US"/>
              </w:rPr>
            </w:pP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𝑁</w:t>
            </w:r>
            <w:r>
              <w:rPr>
                <w:rFonts w:eastAsia="Arial"/>
                <w:highlight w:val="none"/>
                <w:vertAlign w:val="subscript"/>
                <w:lang w:val="en-US"/>
              </w:rPr>
              <w:t>2O,</w:t>
            </w:r>
            <w:r>
              <w:rPr>
                <w:rFonts w:ascii="Cambria Math" w:hAnsi="Cambria Math" w:eastAsia="Times New Roman" w:cs="Cambria Math"/>
                <w:highlight w:val="none"/>
                <w:vertAlign w:val="subscript"/>
                <w:lang w:val="en-US"/>
              </w:rPr>
              <w:t>𝑦</w:t>
            </w:r>
          </w:p>
        </w:tc>
        <w:tc>
          <w:tcPr>
            <w:tcW w:w="283" w:type="dxa"/>
            <w:tcBorders>
              <w:top w:val="nil"/>
              <w:left w:val="nil"/>
              <w:bottom w:val="nil"/>
              <w:right w:val="nil"/>
            </w:tcBorders>
            <w:tcMar>
              <w:top w:w="80" w:type="dxa"/>
              <w:left w:w="100" w:type="dxa"/>
              <w:bottom w:w="20" w:type="dxa"/>
              <w:right w:w="100" w:type="dxa"/>
            </w:tcMar>
          </w:tcPr>
          <w:p w14:paraId="667BCA64">
            <w:pPr>
              <w:keepNext w:val="0"/>
              <w:keepLines w:val="0"/>
              <w:pageBreakBefore w:val="0"/>
              <w:widowControl/>
              <w:kinsoku/>
              <w:wordWrap/>
              <w:overflowPunct/>
              <w:topLinePunct w:val="0"/>
              <w:autoSpaceDE/>
              <w:autoSpaceDN/>
              <w:bidi w:val="0"/>
              <w:adjustRightInd/>
              <w:snapToGrid/>
              <w:spacing w:before="0" w:after="0"/>
              <w:textAlignment w:val="auto"/>
              <w:rPr>
                <w:highlight w:val="none"/>
                <w:lang w:val="en-US"/>
              </w:rPr>
            </w:pPr>
            <w:r>
              <w:rPr>
                <w:highlight w:val="none"/>
                <w:lang w:val="en-US"/>
              </w:rPr>
              <w:t>=</w:t>
            </w:r>
          </w:p>
        </w:tc>
        <w:tc>
          <w:tcPr>
            <w:tcW w:w="7229" w:type="dxa"/>
            <w:tcBorders>
              <w:top w:val="nil"/>
              <w:left w:val="nil"/>
              <w:bottom w:val="nil"/>
              <w:right w:val="nil"/>
            </w:tcBorders>
            <w:tcMar>
              <w:top w:w="80" w:type="dxa"/>
              <w:left w:w="100" w:type="dxa"/>
              <w:bottom w:w="20" w:type="dxa"/>
              <w:right w:w="100" w:type="dxa"/>
            </w:tcMar>
          </w:tcPr>
          <w:p w14:paraId="7061570F">
            <w:pPr>
              <w:keepNext w:val="0"/>
              <w:keepLines w:val="0"/>
              <w:pageBreakBefore w:val="0"/>
              <w:widowControl/>
              <w:kinsoku/>
              <w:wordWrap/>
              <w:overflowPunct/>
              <w:topLinePunct w:val="0"/>
              <w:autoSpaceDE/>
              <w:autoSpaceDN/>
              <w:bidi w:val="0"/>
              <w:adjustRightInd/>
              <w:snapToGrid/>
              <w:spacing w:before="0" w:after="0"/>
              <w:textAlignment w:val="auto"/>
              <w:rPr>
                <w:rFonts w:eastAsia="Arial"/>
                <w:highlight w:val="none"/>
                <w:lang w:val="en-US"/>
              </w:rPr>
            </w:pPr>
            <w:r>
              <w:rPr>
                <w:rFonts w:eastAsia="Arial"/>
                <w:highlight w:val="none"/>
                <w:lang w:val="en-US"/>
              </w:rPr>
              <w:t>Project emissions of nitrous oxide from the composting process in year y (t CO</w:t>
            </w:r>
            <w:r>
              <w:rPr>
                <w:rFonts w:eastAsia="Arial"/>
                <w:highlight w:val="none"/>
                <w:vertAlign w:val="subscript"/>
                <w:lang w:val="en-US"/>
              </w:rPr>
              <w:t>2</w:t>
            </w:r>
            <w:r>
              <w:rPr>
                <w:rFonts w:eastAsia="Arial"/>
                <w:highlight w:val="none"/>
                <w:lang w:val="en-US"/>
              </w:rPr>
              <w:t>e/yr)</w:t>
            </w:r>
          </w:p>
        </w:tc>
      </w:tr>
      <w:tr w14:paraId="75C7290E">
        <w:trPr>
          <w:trHeight w:val="90" w:hRule="atLeast"/>
        </w:trPr>
        <w:tc>
          <w:tcPr>
            <w:tcW w:w="993" w:type="dxa"/>
            <w:tcBorders>
              <w:top w:val="nil"/>
              <w:left w:val="nil"/>
              <w:bottom w:val="nil"/>
              <w:right w:val="nil"/>
            </w:tcBorders>
            <w:tcMar>
              <w:top w:w="80" w:type="dxa"/>
              <w:left w:w="100" w:type="dxa"/>
              <w:bottom w:w="20" w:type="dxa"/>
              <w:right w:w="100" w:type="dxa"/>
            </w:tcMar>
          </w:tcPr>
          <w:p w14:paraId="66FFA880">
            <w:pPr>
              <w:keepNext w:val="0"/>
              <w:keepLines w:val="0"/>
              <w:pageBreakBefore w:val="0"/>
              <w:widowControl/>
              <w:kinsoku/>
              <w:wordWrap/>
              <w:overflowPunct/>
              <w:topLinePunct w:val="0"/>
              <w:autoSpaceDE/>
              <w:autoSpaceDN/>
              <w:bidi w:val="0"/>
              <w:adjustRightInd/>
              <w:snapToGrid/>
              <w:spacing w:before="0" w:after="0"/>
              <w:jc w:val="right"/>
              <w:textAlignment w:val="auto"/>
              <w:rPr>
                <w:rFonts w:eastAsia="Arial"/>
                <w:highlight w:val="none"/>
                <w:vertAlign w:val="subscript"/>
                <w:lang w:val="en-US"/>
              </w:rPr>
            </w:pP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𝑅𝑂</w:t>
            </w:r>
            <w:r>
              <w:rPr>
                <w:rFonts w:eastAsia="Arial"/>
                <w:highlight w:val="none"/>
                <w:vertAlign w:val="subscript"/>
                <w:lang w:val="en-US"/>
              </w:rPr>
              <w:t>,y</w:t>
            </w:r>
          </w:p>
        </w:tc>
        <w:tc>
          <w:tcPr>
            <w:tcW w:w="283" w:type="dxa"/>
            <w:tcBorders>
              <w:top w:val="nil"/>
              <w:left w:val="nil"/>
              <w:bottom w:val="nil"/>
              <w:right w:val="nil"/>
            </w:tcBorders>
            <w:tcMar>
              <w:top w:w="80" w:type="dxa"/>
              <w:left w:w="100" w:type="dxa"/>
              <w:bottom w:w="20" w:type="dxa"/>
              <w:right w:w="100" w:type="dxa"/>
            </w:tcMar>
          </w:tcPr>
          <w:p w14:paraId="54F2F19D">
            <w:pPr>
              <w:keepNext w:val="0"/>
              <w:keepLines w:val="0"/>
              <w:pageBreakBefore w:val="0"/>
              <w:widowControl/>
              <w:kinsoku/>
              <w:wordWrap/>
              <w:overflowPunct/>
              <w:topLinePunct w:val="0"/>
              <w:autoSpaceDE/>
              <w:autoSpaceDN/>
              <w:bidi w:val="0"/>
              <w:adjustRightInd/>
              <w:snapToGrid/>
              <w:spacing w:before="0" w:after="0"/>
              <w:textAlignment w:val="auto"/>
              <w:rPr>
                <w:highlight w:val="none"/>
                <w:lang w:val="en-US"/>
              </w:rPr>
            </w:pPr>
            <w:r>
              <w:rPr>
                <w:highlight w:val="none"/>
                <w:lang w:val="en-US"/>
              </w:rPr>
              <w:t>=</w:t>
            </w:r>
          </w:p>
        </w:tc>
        <w:tc>
          <w:tcPr>
            <w:tcW w:w="7229" w:type="dxa"/>
            <w:tcBorders>
              <w:top w:val="nil"/>
              <w:left w:val="nil"/>
              <w:bottom w:val="nil"/>
              <w:right w:val="nil"/>
            </w:tcBorders>
            <w:tcMar>
              <w:top w:w="80" w:type="dxa"/>
              <w:left w:w="100" w:type="dxa"/>
              <w:bottom w:w="20" w:type="dxa"/>
              <w:right w:w="100" w:type="dxa"/>
            </w:tcMar>
          </w:tcPr>
          <w:p w14:paraId="2AA8B60E">
            <w:pPr>
              <w:keepNext w:val="0"/>
              <w:keepLines w:val="0"/>
              <w:pageBreakBefore w:val="0"/>
              <w:widowControl/>
              <w:kinsoku/>
              <w:wordWrap/>
              <w:overflowPunct/>
              <w:topLinePunct w:val="0"/>
              <w:autoSpaceDE/>
              <w:autoSpaceDN/>
              <w:bidi w:val="0"/>
              <w:adjustRightInd/>
              <w:snapToGrid/>
              <w:spacing w:before="0" w:after="0"/>
              <w:textAlignment w:val="auto"/>
              <w:rPr>
                <w:rFonts w:eastAsia="Arial"/>
                <w:highlight w:val="none"/>
                <w:lang w:val="en-US"/>
              </w:rPr>
            </w:pPr>
            <w:r>
              <w:rPr>
                <w:rFonts w:eastAsia="Arial"/>
                <w:highlight w:val="none"/>
                <w:lang w:val="en-US"/>
              </w:rPr>
              <w:t>Project emissions of methane from run-off wastewater associated with co-composting in year y (t CO</w:t>
            </w:r>
            <w:r>
              <w:rPr>
                <w:rFonts w:eastAsia="Arial"/>
                <w:highlight w:val="none"/>
                <w:vertAlign w:val="subscript"/>
                <w:lang w:val="en-US"/>
              </w:rPr>
              <w:t>2</w:t>
            </w:r>
            <w:r>
              <w:rPr>
                <w:rFonts w:eastAsia="Arial"/>
                <w:highlight w:val="none"/>
                <w:lang w:val="en-US"/>
              </w:rPr>
              <w:t>e/yr)</w:t>
            </w:r>
          </w:p>
        </w:tc>
      </w:tr>
    </w:tbl>
    <w:p w14:paraId="07048AF3">
      <w:pPr>
        <w:spacing w:after="0"/>
        <w:rPr>
          <w:rFonts w:eastAsia="Arial"/>
          <w:highlight w:val="none"/>
          <w:lang w:val="en-US"/>
        </w:rPr>
      </w:pPr>
      <w:r>
        <w:rPr>
          <w:rFonts w:hint="default" w:eastAsia="Arial"/>
          <w:highlight w:val="none"/>
          <w:lang w:val="es-ES"/>
        </w:rPr>
        <w:t xml:space="preserve">Since the </w:t>
      </w:r>
      <w:r>
        <w:rPr>
          <w:rFonts w:eastAsia="Arial"/>
          <w:highlight w:val="none"/>
          <w:lang w:val="en-US"/>
        </w:rPr>
        <w:t>project does not involve co-composting</w:t>
      </w:r>
      <w:r>
        <w:rPr>
          <w:rFonts w:hint="default" w:eastAsia="Arial"/>
          <w:highlight w:val="none"/>
          <w:lang w:val="es-ES"/>
        </w:rPr>
        <w:t xml:space="preserve"> (</w:t>
      </w: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𝑅𝑂</w:t>
      </w:r>
      <w:r>
        <w:rPr>
          <w:rFonts w:eastAsia="Arial"/>
          <w:highlight w:val="none"/>
          <w:vertAlign w:val="subscript"/>
          <w:lang w:val="en-US"/>
        </w:rPr>
        <w:t>,y</w:t>
      </w:r>
      <w:r>
        <w:rPr>
          <w:rFonts w:eastAsia="Arial"/>
          <w:highlight w:val="none"/>
          <w:lang w:val="en-US"/>
        </w:rPr>
        <w:t>=0</w:t>
      </w:r>
      <w:r>
        <w:rPr>
          <w:rFonts w:hint="default" w:eastAsia="Arial"/>
          <w:highlight w:val="none"/>
          <w:lang w:val="es-ES"/>
        </w:rPr>
        <w:t>),</w:t>
      </w:r>
      <w:r>
        <w:rPr>
          <w:rFonts w:eastAsia="Arial"/>
          <w:highlight w:val="none"/>
          <w:lang w:val="en-US"/>
        </w:rPr>
        <w:t xml:space="preserve"> the project emission equation is reduced as below:</w:t>
      </w:r>
    </w:p>
    <w:p w14:paraId="67973127">
      <w:pPr>
        <w:spacing w:after="0"/>
        <w:jc w:val="center"/>
        <w:rPr>
          <w:rFonts w:eastAsia="Times New Roman"/>
          <w:highlight w:val="none"/>
          <w:vertAlign w:val="subscript"/>
          <w:lang w:val="en-US"/>
        </w:rPr>
      </w:pP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𝑦</w:t>
      </w:r>
      <w:r>
        <w:rPr>
          <w:rFonts w:eastAsia="Arial"/>
          <w:highlight w:val="none"/>
          <w:lang w:val="en-US"/>
        </w:rPr>
        <w:t xml:space="preserve"> = </w:t>
      </w: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𝐸𝐶</w:t>
      </w:r>
      <w:r>
        <w:rPr>
          <w:rFonts w:eastAsia="Arial"/>
          <w:highlight w:val="none"/>
          <w:vertAlign w:val="subscript"/>
          <w:lang w:val="en-US"/>
        </w:rPr>
        <w:t xml:space="preserve">,y </w:t>
      </w:r>
      <w:r>
        <w:rPr>
          <w:rFonts w:eastAsia="Arial"/>
          <w:highlight w:val="none"/>
          <w:lang w:val="en-US"/>
        </w:rPr>
        <w:t xml:space="preserve">+ </w:t>
      </w: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𝐹𝐶</w:t>
      </w:r>
      <w:r>
        <w:rPr>
          <w:rFonts w:eastAsia="Arial"/>
          <w:highlight w:val="none"/>
          <w:vertAlign w:val="subscript"/>
          <w:lang w:val="en-US"/>
        </w:rPr>
        <w:t xml:space="preserve">,y </w:t>
      </w:r>
      <w:r>
        <w:rPr>
          <w:rFonts w:eastAsia="Arial"/>
          <w:highlight w:val="none"/>
          <w:lang w:val="en-US"/>
        </w:rPr>
        <w:t xml:space="preserve">+ </w:t>
      </w: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𝐶𝐻</w:t>
      </w:r>
      <w:r>
        <w:rPr>
          <w:rFonts w:eastAsia="Arial"/>
          <w:highlight w:val="none"/>
          <w:vertAlign w:val="subscript"/>
          <w:lang w:val="en-US"/>
        </w:rPr>
        <w:t>4,</w:t>
      </w:r>
      <w:r>
        <w:rPr>
          <w:rFonts w:ascii="Cambria Math" w:hAnsi="Cambria Math" w:eastAsia="Times New Roman" w:cs="Cambria Math"/>
          <w:highlight w:val="none"/>
          <w:vertAlign w:val="subscript"/>
          <w:lang w:val="en-US"/>
        </w:rPr>
        <w:t>𝑦</w:t>
      </w:r>
      <w:r>
        <w:rPr>
          <w:rFonts w:eastAsia="Arial"/>
          <w:highlight w:val="none"/>
          <w:vertAlign w:val="subscript"/>
          <w:lang w:val="en-US"/>
        </w:rPr>
        <w:t xml:space="preserve"> </w:t>
      </w:r>
      <w:r>
        <w:rPr>
          <w:rFonts w:eastAsia="Arial"/>
          <w:highlight w:val="none"/>
          <w:lang w:val="en-US"/>
        </w:rPr>
        <w:t xml:space="preserve">+ </w:t>
      </w: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𝑁</w:t>
      </w:r>
      <w:r>
        <w:rPr>
          <w:rFonts w:eastAsia="Arial"/>
          <w:highlight w:val="none"/>
          <w:vertAlign w:val="subscript"/>
          <w:lang w:val="en-US"/>
        </w:rPr>
        <w:t>20,</w:t>
      </w:r>
      <w:r>
        <w:rPr>
          <w:rFonts w:ascii="Cambria Math" w:hAnsi="Cambria Math" w:eastAsia="Times New Roman" w:cs="Cambria Math"/>
          <w:highlight w:val="none"/>
          <w:vertAlign w:val="subscript"/>
          <w:lang w:val="en-US"/>
        </w:rPr>
        <w:t>𝑦</w:t>
      </w:r>
    </w:p>
    <w:p w14:paraId="481ACB85">
      <w:pPr>
        <w:spacing w:after="0"/>
        <w:rPr>
          <w:rFonts w:eastAsia="Arial"/>
          <w:highlight w:val="none"/>
          <w:u w:val="single"/>
          <w:lang w:val="en-US"/>
        </w:rPr>
      </w:pPr>
      <w:r>
        <w:rPr>
          <w:rFonts w:eastAsia="Arial"/>
          <w:highlight w:val="none"/>
          <w:u w:val="single"/>
          <w:lang w:val="en-US"/>
        </w:rPr>
        <w:t>Determination of project emissions from electricity consumption (PE</w:t>
      </w:r>
      <w:r>
        <w:rPr>
          <w:rFonts w:eastAsia="Arial"/>
          <w:highlight w:val="none"/>
          <w:u w:val="single"/>
          <w:vertAlign w:val="subscript"/>
          <w:lang w:val="en-US"/>
        </w:rPr>
        <w:t>EC,y</w:t>
      </w:r>
      <w:r>
        <w:rPr>
          <w:rFonts w:eastAsia="Arial"/>
          <w:highlight w:val="none"/>
          <w:u w:val="single"/>
          <w:lang w:val="en-US"/>
        </w:rPr>
        <w:t>)</w:t>
      </w:r>
    </w:p>
    <w:p w14:paraId="23C79398">
      <w:pPr>
        <w:keepNext w:val="0"/>
        <w:keepLines w:val="0"/>
        <w:pageBreakBefore w:val="0"/>
        <w:widowControl/>
        <w:kinsoku/>
        <w:wordWrap/>
        <w:overflowPunct/>
        <w:topLinePunct w:val="0"/>
        <w:autoSpaceDE/>
        <w:autoSpaceDN/>
        <w:bidi w:val="0"/>
        <w:adjustRightInd/>
        <w:snapToGrid/>
        <w:spacing w:after="0"/>
        <w:textAlignment w:val="auto"/>
        <w:rPr>
          <w:rFonts w:eastAsia="Arial"/>
          <w:iCs/>
          <w:highlight w:val="none"/>
          <w:lang w:val="en-US"/>
        </w:rPr>
      </w:pPr>
      <w:r>
        <w:rPr>
          <w:rFonts w:eastAsia="Arial"/>
          <w:iCs/>
          <w:highlight w:val="none"/>
          <w:lang w:val="en-US"/>
        </w:rPr>
        <w:t>Since the electricity will be consumed only from grid, the project emission from electricity consumption is estimated as per the methodological tool 05 ‘</w:t>
      </w:r>
      <w:r>
        <w:rPr>
          <w:highlight w:val="none"/>
        </w:rPr>
        <w:fldChar w:fldCharType="begin"/>
      </w:r>
      <w:r>
        <w:rPr>
          <w:highlight w:val="none"/>
        </w:rPr>
        <w:instrText xml:space="preserve"> HYPERLINK "https://cdm.unfccc.int/methodologies/PAmethodologies/tools/am-tool-05-v3.0.pdf" </w:instrText>
      </w:r>
      <w:r>
        <w:rPr>
          <w:highlight w:val="none"/>
        </w:rPr>
        <w:fldChar w:fldCharType="separate"/>
      </w:r>
      <w:r>
        <w:rPr>
          <w:rStyle w:val="20"/>
          <w:rFonts w:eastAsia="Arial"/>
          <w:iCs/>
          <w:highlight w:val="none"/>
          <w:lang w:val="en-US"/>
        </w:rPr>
        <w:t>Baseline, project and/or leakage emissions from electricity consumption and monitoring of electricity generation</w:t>
      </w:r>
      <w:r>
        <w:rPr>
          <w:rStyle w:val="20"/>
          <w:rFonts w:eastAsia="Arial"/>
          <w:iCs/>
          <w:highlight w:val="none"/>
          <w:lang w:val="en-US"/>
        </w:rPr>
        <w:fldChar w:fldCharType="end"/>
      </w:r>
      <w:r>
        <w:rPr>
          <w:rFonts w:eastAsia="Arial"/>
          <w:iCs/>
          <w:highlight w:val="none"/>
          <w:lang w:val="en-US"/>
        </w:rPr>
        <w:t>”, version 3, as per para 16 of the tool the project emission from electricity consumption. It’s calculated as below:</w:t>
      </w:r>
    </w:p>
    <w:p w14:paraId="3A65FAC2">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iCs/>
          <w:highlight w:val="none"/>
          <w:u w:val="single"/>
          <w:lang w:val="es-ES"/>
        </w:rPr>
      </w:pPr>
      <w:r>
        <w:rPr>
          <w:rFonts w:ascii="Cambria Math" w:hAnsi="Cambria Math" w:eastAsia="Times New Roman" w:cs="Cambria Math"/>
          <w:iCs/>
          <w:highlight w:val="none"/>
          <w:lang w:val="en-US"/>
        </w:rPr>
        <w:t>𝑃𝐸</w:t>
      </w:r>
      <w:r>
        <w:rPr>
          <w:rFonts w:ascii="Cambria Math" w:hAnsi="Cambria Math" w:eastAsia="Times New Roman" w:cs="Cambria Math"/>
          <w:iCs/>
          <w:highlight w:val="none"/>
          <w:vertAlign w:val="subscript"/>
          <w:lang w:val="en-US"/>
        </w:rPr>
        <w:t>𝐸𝐶</w:t>
      </w:r>
      <w:r>
        <w:rPr>
          <w:rFonts w:eastAsia="Arial"/>
          <w:iCs/>
          <w:highlight w:val="none"/>
          <w:vertAlign w:val="subscript"/>
          <w:lang w:val="es-ES"/>
        </w:rPr>
        <w:t>,</w:t>
      </w:r>
      <w:r>
        <w:rPr>
          <w:rFonts w:ascii="Cambria Math" w:hAnsi="Cambria Math" w:eastAsia="Times New Roman" w:cs="Cambria Math"/>
          <w:iCs/>
          <w:highlight w:val="none"/>
          <w:vertAlign w:val="subscript"/>
          <w:lang w:val="en-US"/>
        </w:rPr>
        <w:t>𝑦</w:t>
      </w:r>
      <w:r>
        <w:rPr>
          <w:rFonts w:eastAsia="Arial"/>
          <w:iCs/>
          <w:highlight w:val="none"/>
          <w:vertAlign w:val="subscript"/>
          <w:lang w:val="es-ES"/>
        </w:rPr>
        <w:t xml:space="preserve"> </w:t>
      </w:r>
      <w:sdt>
        <w:sdtPr>
          <w:rPr>
            <w:iCs/>
            <w:highlight w:val="none"/>
            <w:lang w:val="en-US"/>
          </w:rPr>
          <w:tag w:val="goog_rdk_42"/>
          <w:id w:val="697458638"/>
        </w:sdtPr>
        <w:sdtEndPr>
          <w:rPr>
            <w:iCs/>
            <w:highlight w:val="none"/>
            <w:lang w:val="en-US"/>
          </w:rPr>
        </w:sdtEndPr>
        <w:sdtContent>
          <w:r>
            <w:rPr>
              <w:rFonts w:eastAsia="Arial Unicode MS"/>
              <w:iCs/>
              <w:highlight w:val="none"/>
              <w:lang w:val="es-ES"/>
            </w:rPr>
            <w:t xml:space="preserve">= </w:t>
          </w:r>
          <w:r>
            <w:rPr>
              <w:rFonts w:hint="eastAsia" w:eastAsia="Arial Unicode MS"/>
              <w:iCs/>
              <w:highlight w:val="none"/>
              <w:lang w:val="es-ES"/>
            </w:rPr>
            <w:t>∑</w:t>
          </w:r>
          <w:r>
            <w:rPr>
              <w:rFonts w:eastAsia="Arial Unicode MS"/>
              <w:iCs/>
              <w:highlight w:val="none"/>
              <w:vertAlign w:val="subscript"/>
              <w:lang w:val="es-ES"/>
            </w:rPr>
            <w:t>j</w:t>
          </w:r>
          <w:r>
            <w:rPr>
              <w:rFonts w:eastAsia="Arial Unicode MS"/>
              <w:iCs/>
              <w:highlight w:val="none"/>
              <w:lang w:val="es-ES"/>
            </w:rPr>
            <w:t xml:space="preserve"> EC</w:t>
          </w:r>
          <w:r>
            <w:rPr>
              <w:rFonts w:eastAsia="Arial Unicode MS"/>
              <w:iCs/>
              <w:highlight w:val="none"/>
              <w:vertAlign w:val="subscript"/>
              <w:lang w:val="es-ES"/>
            </w:rPr>
            <w:t>PJ,j,y</w:t>
          </w:r>
          <w:r>
            <w:rPr>
              <w:rFonts w:eastAsia="Arial Unicode MS"/>
              <w:iCs/>
              <w:highlight w:val="none"/>
              <w:lang w:val="es-ES"/>
            </w:rPr>
            <w:t xml:space="preserve"> * EF</w:t>
          </w:r>
          <w:r>
            <w:rPr>
              <w:rFonts w:eastAsia="Arial Unicode MS"/>
              <w:iCs/>
              <w:highlight w:val="none"/>
              <w:vertAlign w:val="subscript"/>
              <w:lang w:val="es-ES"/>
            </w:rPr>
            <w:t>EL,j,y</w:t>
          </w:r>
          <w:r>
            <w:rPr>
              <w:rFonts w:eastAsia="Arial Unicode MS"/>
              <w:iCs/>
              <w:highlight w:val="none"/>
              <w:lang w:val="es-ES"/>
            </w:rPr>
            <w:t xml:space="preserve"> * (1 + TDL</w:t>
          </w:r>
          <w:r>
            <w:rPr>
              <w:rFonts w:eastAsia="Arial Unicode MS"/>
              <w:iCs/>
              <w:highlight w:val="none"/>
              <w:vertAlign w:val="subscript"/>
              <w:lang w:val="es-ES"/>
            </w:rPr>
            <w:t>j,y</w:t>
          </w:r>
          <w:r>
            <w:rPr>
              <w:rFonts w:eastAsia="Arial Unicode MS"/>
              <w:iCs/>
              <w:highlight w:val="none"/>
              <w:lang w:val="es-ES"/>
            </w:rPr>
            <w:t>)</w:t>
          </w:r>
        </w:sdtContent>
      </w:sdt>
    </w:p>
    <w:p w14:paraId="1A283F23">
      <w:pPr>
        <w:spacing w:before="0" w:after="0"/>
        <w:rPr>
          <w:rFonts w:eastAsia="Arial"/>
          <w:highlight w:val="none"/>
          <w:lang w:val="en-US"/>
        </w:rPr>
      </w:pPr>
      <w:r>
        <w:rPr>
          <w:rFonts w:eastAsia="Arial"/>
          <w:highlight w:val="none"/>
          <w:lang w:val="en-US"/>
        </w:rPr>
        <w:t>Where,</w:t>
      </w:r>
    </w:p>
    <w:tbl>
      <w:tblPr>
        <w:tblStyle w:val="12"/>
        <w:tblW w:w="8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342"/>
        <w:gridCol w:w="7088"/>
      </w:tblGrid>
      <w:tr w14:paraId="42DA7F1C">
        <w:trPr>
          <w:trHeight w:val="38" w:hRule="atLeast"/>
        </w:trPr>
        <w:tc>
          <w:tcPr>
            <w:tcW w:w="934" w:type="dxa"/>
            <w:tcBorders>
              <w:top w:val="nil"/>
              <w:left w:val="nil"/>
              <w:bottom w:val="nil"/>
              <w:right w:val="nil"/>
            </w:tcBorders>
            <w:tcMar>
              <w:top w:w="80" w:type="dxa"/>
              <w:left w:w="100" w:type="dxa"/>
              <w:bottom w:w="20" w:type="dxa"/>
              <w:right w:w="100" w:type="dxa"/>
            </w:tcMar>
          </w:tcPr>
          <w:p w14:paraId="585AEA65">
            <w:pPr>
              <w:spacing w:before="0" w:after="0"/>
              <w:jc w:val="right"/>
              <w:rPr>
                <w:rFonts w:eastAsia="Times New Roman"/>
                <w:iCs/>
                <w:highlight w:val="none"/>
                <w:vertAlign w:val="subscript"/>
                <w:lang w:val="en-US"/>
              </w:rPr>
            </w:pPr>
            <w:r>
              <w:rPr>
                <w:rFonts w:ascii="Cambria Math" w:hAnsi="Cambria Math" w:eastAsia="Times New Roman" w:cs="Cambria Math"/>
                <w:iCs/>
                <w:highlight w:val="none"/>
                <w:lang w:val="en-US"/>
              </w:rPr>
              <w:t>𝑃𝐸</w:t>
            </w:r>
            <w:r>
              <w:rPr>
                <w:rFonts w:ascii="Cambria Math" w:hAnsi="Cambria Math" w:eastAsia="Times New Roman" w:cs="Cambria Math"/>
                <w:iCs/>
                <w:highlight w:val="none"/>
                <w:vertAlign w:val="subscript"/>
                <w:lang w:val="en-US"/>
              </w:rPr>
              <w:t>𝐸𝐶</w:t>
            </w:r>
            <w:r>
              <w:rPr>
                <w:rFonts w:eastAsia="Arial"/>
                <w:iCs/>
                <w:highlight w:val="none"/>
                <w:vertAlign w:val="subscript"/>
                <w:lang w:val="en-US"/>
              </w:rPr>
              <w:t>,</w:t>
            </w:r>
            <w:r>
              <w:rPr>
                <w:rFonts w:ascii="Cambria Math" w:hAnsi="Cambria Math" w:eastAsia="Times New Roman" w:cs="Cambria Math"/>
                <w:iCs/>
                <w:highlight w:val="none"/>
                <w:vertAlign w:val="subscript"/>
                <w:lang w:val="en-US"/>
              </w:rPr>
              <w:t>𝑦</w:t>
            </w:r>
          </w:p>
        </w:tc>
        <w:tc>
          <w:tcPr>
            <w:tcW w:w="342" w:type="dxa"/>
            <w:tcBorders>
              <w:top w:val="nil"/>
              <w:left w:val="nil"/>
              <w:bottom w:val="nil"/>
              <w:right w:val="nil"/>
            </w:tcBorders>
            <w:tcMar>
              <w:top w:w="80" w:type="dxa"/>
              <w:left w:w="100" w:type="dxa"/>
              <w:bottom w:w="20" w:type="dxa"/>
              <w:right w:w="100" w:type="dxa"/>
            </w:tcMar>
          </w:tcPr>
          <w:p w14:paraId="50052F50">
            <w:pPr>
              <w:spacing w:before="0" w:after="0"/>
              <w:rPr>
                <w:iCs/>
                <w:highlight w:val="none"/>
                <w:lang w:val="en-US"/>
              </w:rPr>
            </w:pPr>
            <w:r>
              <w:rPr>
                <w:iCs/>
                <w:highlight w:val="none"/>
                <w:lang w:val="en-US"/>
              </w:rPr>
              <w:t>=</w:t>
            </w:r>
          </w:p>
        </w:tc>
        <w:tc>
          <w:tcPr>
            <w:tcW w:w="7088" w:type="dxa"/>
            <w:tcBorders>
              <w:top w:val="nil"/>
              <w:left w:val="nil"/>
              <w:bottom w:val="nil"/>
              <w:right w:val="nil"/>
            </w:tcBorders>
            <w:tcMar>
              <w:top w:w="80" w:type="dxa"/>
              <w:left w:w="100" w:type="dxa"/>
              <w:bottom w:w="20" w:type="dxa"/>
              <w:right w:w="100" w:type="dxa"/>
            </w:tcMar>
          </w:tcPr>
          <w:p w14:paraId="402749B8">
            <w:pPr>
              <w:spacing w:before="0" w:after="0"/>
              <w:rPr>
                <w:rFonts w:eastAsia="Arial"/>
                <w:iCs/>
                <w:highlight w:val="none"/>
                <w:lang w:val="en-US"/>
              </w:rPr>
            </w:pPr>
            <w:r>
              <w:rPr>
                <w:rFonts w:eastAsia="Arial"/>
                <w:iCs/>
                <w:highlight w:val="none"/>
                <w:lang w:val="en-US"/>
              </w:rPr>
              <w:t>Project emissions from electricity consumption in year y (t CO</w:t>
            </w:r>
            <w:r>
              <w:rPr>
                <w:rFonts w:eastAsia="Arial"/>
                <w:iCs/>
                <w:highlight w:val="none"/>
                <w:vertAlign w:val="subscript"/>
                <w:lang w:val="en-US"/>
              </w:rPr>
              <w:t>2</w:t>
            </w:r>
            <w:r>
              <w:rPr>
                <w:rFonts w:eastAsia="Arial"/>
                <w:iCs/>
                <w:highlight w:val="none"/>
                <w:lang w:val="en-US"/>
              </w:rPr>
              <w:t xml:space="preserve"> / yr)</w:t>
            </w:r>
          </w:p>
        </w:tc>
      </w:tr>
      <w:tr w14:paraId="6AF35E9F">
        <w:trPr>
          <w:trHeight w:val="90" w:hRule="atLeast"/>
        </w:trPr>
        <w:tc>
          <w:tcPr>
            <w:tcW w:w="934" w:type="dxa"/>
            <w:tcBorders>
              <w:top w:val="nil"/>
              <w:left w:val="nil"/>
              <w:bottom w:val="nil"/>
              <w:right w:val="nil"/>
            </w:tcBorders>
            <w:tcMar>
              <w:top w:w="80" w:type="dxa"/>
              <w:left w:w="100" w:type="dxa"/>
              <w:bottom w:w="20" w:type="dxa"/>
              <w:right w:w="100" w:type="dxa"/>
            </w:tcMar>
          </w:tcPr>
          <w:p w14:paraId="7F9063D4">
            <w:pPr>
              <w:spacing w:before="0" w:after="0"/>
              <w:jc w:val="right"/>
              <w:rPr>
                <w:iCs/>
                <w:highlight w:val="none"/>
                <w:lang w:val="en-US"/>
              </w:rPr>
            </w:pPr>
            <w:r>
              <w:rPr>
                <w:rFonts w:eastAsia="Arial Unicode MS"/>
                <w:iCs/>
                <w:highlight w:val="none"/>
                <w:lang w:val="en-US"/>
              </w:rPr>
              <w:t>EC</w:t>
            </w:r>
            <w:r>
              <w:rPr>
                <w:rFonts w:eastAsia="Arial Unicode MS"/>
                <w:iCs/>
                <w:highlight w:val="none"/>
                <w:vertAlign w:val="subscript"/>
                <w:lang w:val="en-US"/>
              </w:rPr>
              <w:t>PJ,j,y</w:t>
            </w:r>
          </w:p>
        </w:tc>
        <w:tc>
          <w:tcPr>
            <w:tcW w:w="342" w:type="dxa"/>
            <w:tcBorders>
              <w:top w:val="nil"/>
              <w:left w:val="nil"/>
              <w:bottom w:val="nil"/>
              <w:right w:val="nil"/>
            </w:tcBorders>
            <w:tcMar>
              <w:top w:w="80" w:type="dxa"/>
              <w:left w:w="100" w:type="dxa"/>
              <w:bottom w:w="20" w:type="dxa"/>
              <w:right w:w="100" w:type="dxa"/>
            </w:tcMar>
          </w:tcPr>
          <w:p w14:paraId="02835E1F">
            <w:pPr>
              <w:spacing w:before="0" w:after="0"/>
              <w:rPr>
                <w:iCs/>
                <w:highlight w:val="none"/>
                <w:lang w:val="en-US"/>
              </w:rPr>
            </w:pPr>
            <w:r>
              <w:rPr>
                <w:iCs/>
                <w:highlight w:val="none"/>
                <w:lang w:val="en-US"/>
              </w:rPr>
              <w:t>=</w:t>
            </w:r>
          </w:p>
        </w:tc>
        <w:tc>
          <w:tcPr>
            <w:tcW w:w="7088" w:type="dxa"/>
            <w:tcBorders>
              <w:top w:val="nil"/>
              <w:left w:val="nil"/>
              <w:bottom w:val="nil"/>
              <w:right w:val="nil"/>
            </w:tcBorders>
            <w:tcMar>
              <w:top w:w="80" w:type="dxa"/>
              <w:left w:w="100" w:type="dxa"/>
              <w:bottom w:w="20" w:type="dxa"/>
              <w:right w:w="100" w:type="dxa"/>
            </w:tcMar>
          </w:tcPr>
          <w:p w14:paraId="30F3AEFE">
            <w:pPr>
              <w:spacing w:before="0" w:after="0"/>
              <w:rPr>
                <w:rFonts w:eastAsia="Arial"/>
                <w:iCs/>
                <w:highlight w:val="none"/>
                <w:lang w:val="en-US"/>
              </w:rPr>
            </w:pPr>
            <w:r>
              <w:rPr>
                <w:rFonts w:eastAsia="Arial"/>
                <w:iCs/>
                <w:highlight w:val="none"/>
                <w:lang w:val="en-US"/>
              </w:rPr>
              <w:t>Quantity of electricity consumed by the project electricity consumption source j in year y (MWh/yr)</w:t>
            </w:r>
          </w:p>
        </w:tc>
      </w:tr>
      <w:tr w14:paraId="089DEBA4">
        <w:trPr>
          <w:trHeight w:val="38" w:hRule="atLeast"/>
        </w:trPr>
        <w:tc>
          <w:tcPr>
            <w:tcW w:w="934" w:type="dxa"/>
            <w:tcBorders>
              <w:top w:val="nil"/>
              <w:left w:val="nil"/>
              <w:bottom w:val="nil"/>
              <w:right w:val="nil"/>
            </w:tcBorders>
            <w:tcMar>
              <w:top w:w="80" w:type="dxa"/>
              <w:left w:w="100" w:type="dxa"/>
              <w:bottom w:w="20" w:type="dxa"/>
              <w:right w:w="100" w:type="dxa"/>
            </w:tcMar>
          </w:tcPr>
          <w:p w14:paraId="0D0AF606">
            <w:pPr>
              <w:spacing w:before="0" w:after="0"/>
              <w:jc w:val="right"/>
              <w:rPr>
                <w:iCs/>
                <w:highlight w:val="none"/>
                <w:lang w:val="en-US"/>
              </w:rPr>
            </w:pPr>
            <w:r>
              <w:rPr>
                <w:rFonts w:eastAsia="Arial Unicode MS"/>
                <w:iCs/>
                <w:highlight w:val="none"/>
                <w:lang w:val="en-US"/>
              </w:rPr>
              <w:t>EF</w:t>
            </w:r>
            <w:r>
              <w:rPr>
                <w:rFonts w:eastAsia="Arial Unicode MS"/>
                <w:iCs/>
                <w:highlight w:val="none"/>
                <w:vertAlign w:val="subscript"/>
                <w:lang w:val="en-US"/>
              </w:rPr>
              <w:t>EL,j,y</w:t>
            </w:r>
          </w:p>
        </w:tc>
        <w:tc>
          <w:tcPr>
            <w:tcW w:w="342" w:type="dxa"/>
            <w:tcBorders>
              <w:top w:val="nil"/>
              <w:left w:val="nil"/>
              <w:bottom w:val="nil"/>
              <w:right w:val="nil"/>
            </w:tcBorders>
            <w:tcMar>
              <w:top w:w="80" w:type="dxa"/>
              <w:left w:w="100" w:type="dxa"/>
              <w:bottom w:w="20" w:type="dxa"/>
              <w:right w:w="100" w:type="dxa"/>
            </w:tcMar>
          </w:tcPr>
          <w:p w14:paraId="3911A1A2">
            <w:pPr>
              <w:spacing w:before="0" w:after="0"/>
              <w:rPr>
                <w:iCs/>
                <w:highlight w:val="none"/>
                <w:lang w:val="en-US"/>
              </w:rPr>
            </w:pPr>
            <w:r>
              <w:rPr>
                <w:iCs/>
                <w:highlight w:val="none"/>
                <w:lang w:val="en-US"/>
              </w:rPr>
              <w:t>=</w:t>
            </w:r>
          </w:p>
        </w:tc>
        <w:tc>
          <w:tcPr>
            <w:tcW w:w="7088" w:type="dxa"/>
            <w:tcBorders>
              <w:top w:val="nil"/>
              <w:left w:val="nil"/>
              <w:bottom w:val="nil"/>
              <w:right w:val="nil"/>
            </w:tcBorders>
            <w:tcMar>
              <w:top w:w="80" w:type="dxa"/>
              <w:left w:w="100" w:type="dxa"/>
              <w:bottom w:w="20" w:type="dxa"/>
              <w:right w:w="100" w:type="dxa"/>
            </w:tcMar>
          </w:tcPr>
          <w:p w14:paraId="2772CEE7">
            <w:pPr>
              <w:spacing w:before="0" w:after="0"/>
              <w:rPr>
                <w:rFonts w:eastAsia="Arial"/>
                <w:iCs/>
                <w:highlight w:val="none"/>
                <w:lang w:val="en-US"/>
              </w:rPr>
            </w:pPr>
            <w:r>
              <w:rPr>
                <w:rFonts w:eastAsia="Arial"/>
                <w:iCs/>
                <w:highlight w:val="none"/>
                <w:lang w:val="en-US"/>
              </w:rPr>
              <w:t>Emission factor for electricity generation for source j in year y (t CO</w:t>
            </w:r>
            <w:r>
              <w:rPr>
                <w:rFonts w:eastAsia="Arial"/>
                <w:iCs/>
                <w:highlight w:val="none"/>
                <w:vertAlign w:val="subscript"/>
                <w:lang w:val="en-US"/>
              </w:rPr>
              <w:t>2</w:t>
            </w:r>
            <w:r>
              <w:rPr>
                <w:rFonts w:eastAsia="Arial"/>
                <w:iCs/>
                <w:highlight w:val="none"/>
                <w:lang w:val="en-US"/>
              </w:rPr>
              <w:t>/MWh)</w:t>
            </w:r>
          </w:p>
        </w:tc>
      </w:tr>
      <w:tr w14:paraId="431FDE07">
        <w:trPr>
          <w:trHeight w:val="38" w:hRule="atLeast"/>
        </w:trPr>
        <w:tc>
          <w:tcPr>
            <w:tcW w:w="934" w:type="dxa"/>
            <w:tcBorders>
              <w:top w:val="nil"/>
              <w:left w:val="nil"/>
              <w:bottom w:val="nil"/>
              <w:right w:val="nil"/>
            </w:tcBorders>
            <w:tcMar>
              <w:top w:w="80" w:type="dxa"/>
              <w:left w:w="100" w:type="dxa"/>
              <w:bottom w:w="20" w:type="dxa"/>
              <w:right w:w="100" w:type="dxa"/>
            </w:tcMar>
          </w:tcPr>
          <w:p w14:paraId="1FA67907">
            <w:pPr>
              <w:spacing w:before="0" w:after="0"/>
              <w:jc w:val="right"/>
              <w:rPr>
                <w:iCs/>
                <w:highlight w:val="none"/>
                <w:lang w:val="en-US"/>
              </w:rPr>
            </w:pPr>
            <w:r>
              <w:rPr>
                <w:rFonts w:eastAsia="Arial Unicode MS"/>
                <w:iCs/>
                <w:highlight w:val="none"/>
                <w:lang w:val="en-US"/>
              </w:rPr>
              <w:t>TDL</w:t>
            </w:r>
            <w:r>
              <w:rPr>
                <w:rFonts w:eastAsia="Arial Unicode MS"/>
                <w:iCs/>
                <w:highlight w:val="none"/>
                <w:vertAlign w:val="subscript"/>
                <w:lang w:val="en-US"/>
              </w:rPr>
              <w:t>j,y</w:t>
            </w:r>
          </w:p>
        </w:tc>
        <w:tc>
          <w:tcPr>
            <w:tcW w:w="342" w:type="dxa"/>
            <w:tcBorders>
              <w:top w:val="nil"/>
              <w:left w:val="nil"/>
              <w:bottom w:val="nil"/>
              <w:right w:val="nil"/>
            </w:tcBorders>
            <w:tcMar>
              <w:top w:w="80" w:type="dxa"/>
              <w:left w:w="100" w:type="dxa"/>
              <w:bottom w:w="20" w:type="dxa"/>
              <w:right w:w="100" w:type="dxa"/>
            </w:tcMar>
          </w:tcPr>
          <w:p w14:paraId="1FC1F1C3">
            <w:pPr>
              <w:spacing w:before="0" w:after="0"/>
              <w:rPr>
                <w:iCs/>
                <w:highlight w:val="none"/>
                <w:lang w:val="en-US"/>
              </w:rPr>
            </w:pPr>
            <w:r>
              <w:rPr>
                <w:iCs/>
                <w:highlight w:val="none"/>
                <w:lang w:val="en-US"/>
              </w:rPr>
              <w:t>=</w:t>
            </w:r>
          </w:p>
        </w:tc>
        <w:tc>
          <w:tcPr>
            <w:tcW w:w="7088" w:type="dxa"/>
            <w:tcBorders>
              <w:top w:val="nil"/>
              <w:left w:val="nil"/>
              <w:bottom w:val="nil"/>
              <w:right w:val="nil"/>
            </w:tcBorders>
            <w:tcMar>
              <w:top w:w="80" w:type="dxa"/>
              <w:left w:w="100" w:type="dxa"/>
              <w:bottom w:w="20" w:type="dxa"/>
              <w:right w:w="100" w:type="dxa"/>
            </w:tcMar>
          </w:tcPr>
          <w:p w14:paraId="6803A237">
            <w:pPr>
              <w:spacing w:before="0" w:after="0"/>
              <w:rPr>
                <w:rFonts w:eastAsia="Arial"/>
                <w:iCs/>
                <w:highlight w:val="none"/>
                <w:lang w:val="en-US"/>
              </w:rPr>
            </w:pPr>
            <w:r>
              <w:rPr>
                <w:rFonts w:eastAsia="Arial"/>
                <w:iCs/>
                <w:highlight w:val="none"/>
                <w:lang w:val="en-US"/>
              </w:rPr>
              <w:t>Average technical transmission and distribution losses for providing electricity to source j in year y</w:t>
            </w:r>
          </w:p>
        </w:tc>
      </w:tr>
    </w:tbl>
    <w:p w14:paraId="5F7793C3">
      <w:pPr>
        <w:spacing w:after="0"/>
        <w:rPr>
          <w:rFonts w:eastAsia="Arial"/>
          <w:b/>
          <w:bCs/>
          <w:highlight w:val="none"/>
          <w:u w:val="single"/>
          <w:lang w:val="en-US"/>
        </w:rPr>
      </w:pPr>
      <w:r>
        <w:rPr>
          <w:rFonts w:eastAsia="Arial"/>
          <w:b/>
          <w:bCs/>
          <w:iCs/>
          <w:highlight w:val="none"/>
          <w:lang w:val="en-US"/>
        </w:rPr>
        <w:t>Quantity of electricity consumed by the project electricity consumption source j in year y (MWh/yr)</w:t>
      </w:r>
    </w:p>
    <w:tbl>
      <w:tblPr>
        <w:tblStyle w:val="24"/>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48"/>
        <w:gridCol w:w="1703"/>
        <w:gridCol w:w="1802"/>
        <w:gridCol w:w="1723"/>
        <w:gridCol w:w="1764"/>
      </w:tblGrid>
      <w:tr w14:paraId="55502F89">
        <w:trPr>
          <w:jc w:val="center"/>
        </w:trPr>
        <w:tc>
          <w:tcPr>
            <w:tcW w:w="911" w:type="dxa"/>
            <w:vAlign w:val="center"/>
          </w:tcPr>
          <w:p w14:paraId="355EFBF4">
            <w:pPr>
              <w:spacing w:before="0" w:after="0"/>
              <w:jc w:val="center"/>
              <w:rPr>
                <w:bCs/>
                <w:color w:val="000000" w:themeColor="text1"/>
                <w:highlight w:val="none"/>
                <w:lang w:val="en-US"/>
                <w14:textFill>
                  <w14:solidFill>
                    <w14:schemeClr w14:val="tx1"/>
                  </w14:solidFill>
                </w14:textFill>
              </w:rPr>
            </w:pPr>
            <w:r>
              <w:rPr>
                <w:rFonts w:hint="default"/>
                <w:color w:val="000000" w:themeColor="text1"/>
                <w:highlight w:val="none"/>
                <w:lang w:val="es-ES"/>
                <w14:textFill>
                  <w14:solidFill>
                    <w14:schemeClr w14:val="tx1"/>
                  </w14:solidFill>
                </w14:textFill>
              </w:rPr>
              <w:t>YEAR</w:t>
            </w:r>
          </w:p>
        </w:tc>
        <w:tc>
          <w:tcPr>
            <w:tcW w:w="1748" w:type="dxa"/>
            <w:vAlign w:val="center"/>
          </w:tcPr>
          <w:p w14:paraId="745EF2FD">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1</w:t>
            </w:r>
          </w:p>
          <w:p w14:paraId="57FC4F6B">
            <w:pPr>
              <w:spacing w:before="0" w:after="0"/>
              <w:jc w:val="center"/>
              <w:rPr>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/2018-31/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/2019</w:t>
            </w:r>
          </w:p>
        </w:tc>
        <w:tc>
          <w:tcPr>
            <w:tcW w:w="1703" w:type="dxa"/>
            <w:vAlign w:val="center"/>
          </w:tcPr>
          <w:p w14:paraId="4EB7D8B4">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2</w:t>
            </w:r>
          </w:p>
          <w:p w14:paraId="64C7B09B">
            <w:pPr>
              <w:spacing w:before="0" w:after="0"/>
              <w:jc w:val="center"/>
              <w:rPr>
                <w:bCs/>
                <w:color w:val="000000" w:themeColor="text1"/>
                <w:highlight w:val="none"/>
                <w:lang w:val="en-US"/>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/2019-31/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/2020</w:t>
            </w:r>
          </w:p>
        </w:tc>
        <w:tc>
          <w:tcPr>
            <w:tcW w:w="1802" w:type="dxa"/>
            <w:vAlign w:val="center"/>
          </w:tcPr>
          <w:p w14:paraId="43FFC918">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3</w:t>
            </w:r>
          </w:p>
          <w:p w14:paraId="4D51F591">
            <w:pPr>
              <w:spacing w:before="0" w:after="0"/>
              <w:jc w:val="center"/>
              <w:rPr>
                <w:bCs/>
                <w:color w:val="000000" w:themeColor="text1"/>
                <w:highlight w:val="none"/>
                <w:lang w:val="en-US"/>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/2020-31/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/2021</w:t>
            </w:r>
          </w:p>
        </w:tc>
        <w:tc>
          <w:tcPr>
            <w:tcW w:w="1723" w:type="dxa"/>
            <w:vAlign w:val="center"/>
          </w:tcPr>
          <w:p w14:paraId="104FA6ED">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4</w:t>
            </w:r>
          </w:p>
          <w:p w14:paraId="75107FB5">
            <w:pPr>
              <w:spacing w:before="0" w:after="0"/>
              <w:jc w:val="center"/>
              <w:rPr>
                <w:bCs/>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/2021-31/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/2022</w:t>
            </w:r>
          </w:p>
        </w:tc>
        <w:tc>
          <w:tcPr>
            <w:tcW w:w="1764" w:type="dxa"/>
            <w:vAlign w:val="center"/>
          </w:tcPr>
          <w:p w14:paraId="1A095380">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5</w:t>
            </w:r>
          </w:p>
          <w:p w14:paraId="6AB611DA">
            <w:pPr>
              <w:spacing w:before="0" w:after="0"/>
              <w:jc w:val="center"/>
              <w:rPr>
                <w:bCs/>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/2022-31/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/2023</w:t>
            </w:r>
          </w:p>
        </w:tc>
      </w:tr>
      <w:tr w14:paraId="07EA7083">
        <w:trPr>
          <w:trHeight w:val="90" w:hRule="atLeast"/>
          <w:jc w:val="center"/>
        </w:trPr>
        <w:tc>
          <w:tcPr>
            <w:tcW w:w="911" w:type="dxa"/>
          </w:tcPr>
          <w:p w14:paraId="6CFE3CE1">
            <w:pPr>
              <w:spacing w:before="0" w:after="0"/>
              <w:rPr>
                <w:bCs/>
                <w:color w:val="000000" w:themeColor="text1"/>
                <w:highlight w:val="none"/>
                <w:lang w:val="en-US"/>
                <w14:textFill>
                  <w14:solidFill>
                    <w14:schemeClr w14:val="tx1"/>
                  </w14:solidFill>
                </w14:textFill>
              </w:rPr>
            </w:pPr>
            <w:r>
              <w:rPr>
                <w:rFonts w:ascii="Cambria Math" w:hAnsi="Cambria Math" w:cs="Cambria Math"/>
                <w:bCs/>
                <w:color w:val="000000" w:themeColor="text1"/>
                <w:highlight w:val="none"/>
                <w:lang w:val="en-US"/>
                <w14:textFill>
                  <w14:solidFill>
                    <w14:schemeClr w14:val="tx1"/>
                  </w14:solidFill>
                </w14:textFill>
              </w:rPr>
              <w:t>𝐸C</w:t>
            </w:r>
            <w:r>
              <w:rPr>
                <w:bCs/>
                <w:color w:val="000000" w:themeColor="text1"/>
                <w:highlight w:val="none"/>
                <w:vertAlign w:val="subscript"/>
                <w:lang w:val="en-US"/>
                <w14:textFill>
                  <w14:solidFill>
                    <w14:schemeClr w14:val="tx1"/>
                  </w14:solidFill>
                </w14:textFill>
              </w:rPr>
              <w:t>PJ,j,y</w:t>
            </w:r>
            <w:r>
              <w:rPr>
                <w:bCs/>
                <w:color w:val="000000" w:themeColor="text1"/>
                <w:highlight w:val="none"/>
                <w:lang w:val="en-US"/>
                <w14:textFill>
                  <w14:solidFill>
                    <w14:schemeClr w14:val="tx1"/>
                  </w14:solidFill>
                </w14:textFill>
              </w:rPr>
              <w:t xml:space="preserve"> (MWh)</w:t>
            </w:r>
          </w:p>
        </w:tc>
        <w:tc>
          <w:tcPr>
            <w:tcW w:w="1748" w:type="dxa"/>
            <w:vAlign w:val="center"/>
          </w:tcPr>
          <w:p w14:paraId="1F954D88">
            <w:pPr>
              <w:keepNext w:val="0"/>
              <w:keepLines w:val="0"/>
              <w:widowControl/>
              <w:suppressLineNumbers w:val="0"/>
              <w:jc w:val="center"/>
              <w:textAlignment w:val="center"/>
              <w:rPr>
                <w:b w:val="0"/>
                <w:bCs w:val="0"/>
                <w:color w:val="000000" w:themeColor="text1"/>
                <w:highlight w:val="none"/>
                <w:lang w:val="en-US"/>
                <w14:textFill>
                  <w14:solidFill>
                    <w14:schemeClr w14:val="tx1"/>
                  </w14:solidFill>
                </w14:textFill>
              </w:rPr>
            </w:pPr>
            <w:r>
              <w:rPr>
                <w:rFonts w:hint="default" w:ascii="Calibri" w:hAnsi="Calibri" w:eastAsia="SimSun" w:cs="Calibri"/>
                <w:b w:val="0"/>
                <w:bCs w:val="0"/>
                <w:i w:val="0"/>
                <w:iCs w:val="0"/>
                <w:color w:val="000000"/>
                <w:kern w:val="0"/>
                <w:sz w:val="22"/>
                <w:szCs w:val="22"/>
                <w:highlight w:val="none"/>
                <w:u w:val="none"/>
                <w:lang w:val="en-US" w:eastAsia="zh-CN" w:bidi="ar"/>
              </w:rPr>
              <w:t>16.75</w:t>
            </w:r>
          </w:p>
        </w:tc>
        <w:tc>
          <w:tcPr>
            <w:tcW w:w="1703" w:type="dxa"/>
            <w:vAlign w:val="center"/>
          </w:tcPr>
          <w:p w14:paraId="75190473">
            <w:pPr>
              <w:keepNext w:val="0"/>
              <w:keepLines w:val="0"/>
              <w:widowControl/>
              <w:suppressLineNumbers w:val="0"/>
              <w:jc w:val="center"/>
              <w:textAlignment w:val="center"/>
              <w:rPr>
                <w:b w:val="0"/>
                <w:bCs w:val="0"/>
                <w:color w:val="000000" w:themeColor="text1"/>
                <w:highlight w:val="none"/>
                <w:lang w:val="en-US"/>
                <w14:textFill>
                  <w14:solidFill>
                    <w14:schemeClr w14:val="tx1"/>
                  </w14:solidFill>
                </w14:textFill>
              </w:rPr>
            </w:pPr>
            <w:r>
              <w:rPr>
                <w:rFonts w:hint="default" w:ascii="Calibri" w:hAnsi="Calibri" w:eastAsia="SimSun" w:cs="Calibri"/>
                <w:b w:val="0"/>
                <w:bCs w:val="0"/>
                <w:i w:val="0"/>
                <w:iCs w:val="0"/>
                <w:color w:val="000000"/>
                <w:kern w:val="0"/>
                <w:sz w:val="22"/>
                <w:szCs w:val="22"/>
                <w:highlight w:val="none"/>
                <w:u w:val="none"/>
                <w:lang w:val="en-US" w:eastAsia="zh-CN" w:bidi="ar"/>
              </w:rPr>
              <w:t>19.50</w:t>
            </w:r>
          </w:p>
        </w:tc>
        <w:tc>
          <w:tcPr>
            <w:tcW w:w="1802" w:type="dxa"/>
            <w:vAlign w:val="center"/>
          </w:tcPr>
          <w:p w14:paraId="327D936D">
            <w:pPr>
              <w:keepNext w:val="0"/>
              <w:keepLines w:val="0"/>
              <w:widowControl/>
              <w:suppressLineNumbers w:val="0"/>
              <w:jc w:val="center"/>
              <w:textAlignment w:val="center"/>
              <w:rPr>
                <w:b w:val="0"/>
                <w:bCs w:val="0"/>
                <w:color w:val="000000" w:themeColor="text1"/>
                <w:highlight w:val="none"/>
                <w:lang w:val="en-US"/>
                <w14:textFill>
                  <w14:solidFill>
                    <w14:schemeClr w14:val="tx1"/>
                  </w14:solidFill>
                </w14:textFill>
              </w:rPr>
            </w:pPr>
            <w:r>
              <w:rPr>
                <w:rFonts w:hint="default" w:ascii="Calibri" w:hAnsi="Calibri" w:eastAsia="SimSun" w:cs="Calibri"/>
                <w:b w:val="0"/>
                <w:bCs w:val="0"/>
                <w:i w:val="0"/>
                <w:iCs w:val="0"/>
                <w:color w:val="000000"/>
                <w:kern w:val="0"/>
                <w:sz w:val="22"/>
                <w:szCs w:val="22"/>
                <w:highlight w:val="none"/>
                <w:u w:val="none"/>
                <w:lang w:val="en-US" w:eastAsia="zh-CN" w:bidi="ar"/>
              </w:rPr>
              <w:t>21.25</w:t>
            </w:r>
          </w:p>
        </w:tc>
        <w:tc>
          <w:tcPr>
            <w:tcW w:w="1723" w:type="dxa"/>
            <w:vAlign w:val="center"/>
          </w:tcPr>
          <w:p w14:paraId="27C811AA">
            <w:pPr>
              <w:keepNext w:val="0"/>
              <w:keepLines w:val="0"/>
              <w:widowControl/>
              <w:suppressLineNumbers w:val="0"/>
              <w:jc w:val="center"/>
              <w:textAlignment w:val="center"/>
              <w:rPr>
                <w:b w:val="0"/>
                <w:bCs w:val="0"/>
                <w:color w:val="000000" w:themeColor="text1"/>
                <w:highlight w:val="none"/>
                <w:lang w:val="en-US"/>
                <w14:textFill>
                  <w14:solidFill>
                    <w14:schemeClr w14:val="tx1"/>
                  </w14:solidFill>
                </w14:textFill>
              </w:rPr>
            </w:pPr>
            <w:r>
              <w:rPr>
                <w:rFonts w:hint="default" w:ascii="Calibri" w:hAnsi="Calibri" w:eastAsia="SimSun" w:cs="Calibri"/>
                <w:b w:val="0"/>
                <w:bCs w:val="0"/>
                <w:i w:val="0"/>
                <w:iCs w:val="0"/>
                <w:color w:val="000000"/>
                <w:kern w:val="0"/>
                <w:sz w:val="22"/>
                <w:szCs w:val="22"/>
                <w:highlight w:val="none"/>
                <w:u w:val="none"/>
                <w:lang w:val="en-US" w:eastAsia="zh-CN" w:bidi="ar"/>
              </w:rPr>
              <w:t>22.50</w:t>
            </w:r>
          </w:p>
        </w:tc>
        <w:tc>
          <w:tcPr>
            <w:tcW w:w="1764" w:type="dxa"/>
            <w:vAlign w:val="center"/>
          </w:tcPr>
          <w:p w14:paraId="3B360CE1">
            <w:pPr>
              <w:keepNext w:val="0"/>
              <w:keepLines w:val="0"/>
              <w:widowControl/>
              <w:suppressLineNumbers w:val="0"/>
              <w:jc w:val="center"/>
              <w:textAlignment w:val="center"/>
              <w:rPr>
                <w:b w:val="0"/>
                <w:bCs w:val="0"/>
                <w:color w:val="000000" w:themeColor="text1"/>
                <w:highlight w:val="none"/>
                <w:lang w:val="en-US"/>
                <w14:textFill>
                  <w14:solidFill>
                    <w14:schemeClr w14:val="tx1"/>
                  </w14:solidFill>
                </w14:textFill>
              </w:rPr>
            </w:pPr>
            <w:r>
              <w:rPr>
                <w:rFonts w:hint="default" w:ascii="Calibri" w:hAnsi="Calibri" w:eastAsia="SimSun" w:cs="Calibri"/>
                <w:b w:val="0"/>
                <w:bCs w:val="0"/>
                <w:i w:val="0"/>
                <w:iCs w:val="0"/>
                <w:color w:val="000000"/>
                <w:kern w:val="0"/>
                <w:sz w:val="22"/>
                <w:szCs w:val="22"/>
                <w:highlight w:val="none"/>
                <w:u w:val="none"/>
                <w:lang w:val="en-US" w:eastAsia="zh-CN" w:bidi="ar"/>
              </w:rPr>
              <w:t>20.00</w:t>
            </w:r>
          </w:p>
        </w:tc>
      </w:tr>
    </w:tbl>
    <w:p w14:paraId="04CF1589">
      <w:pPr>
        <w:spacing w:after="0"/>
        <w:ind w:firstLine="708"/>
        <w:rPr>
          <w:rFonts w:eastAsia="Arial"/>
          <w:b/>
          <w:bCs/>
          <w:iCs/>
          <w:highlight w:val="none"/>
          <w:lang w:val="en-US"/>
        </w:rPr>
      </w:pPr>
    </w:p>
    <w:p w14:paraId="210F417C">
      <w:pPr>
        <w:spacing w:after="0"/>
        <w:ind w:firstLine="708"/>
        <w:rPr>
          <w:rFonts w:eastAsia="Arial"/>
          <w:b/>
          <w:bCs/>
          <w:iCs/>
          <w:highlight w:val="none"/>
          <w:lang w:val="en-US"/>
        </w:rPr>
      </w:pPr>
      <w:r>
        <w:rPr>
          <w:rFonts w:eastAsia="Arial"/>
          <w:b/>
          <w:bCs/>
          <w:iCs/>
          <w:highlight w:val="none"/>
          <w:lang w:val="en-US"/>
        </w:rPr>
        <w:t>Emission factor for electricity generation for source j in year y (t CO</w:t>
      </w:r>
      <w:r>
        <w:rPr>
          <w:rFonts w:eastAsia="Arial"/>
          <w:b/>
          <w:bCs/>
          <w:iCs/>
          <w:highlight w:val="none"/>
          <w:vertAlign w:val="subscript"/>
          <w:lang w:val="en-US"/>
        </w:rPr>
        <w:t>2</w:t>
      </w:r>
      <w:r>
        <w:rPr>
          <w:rFonts w:eastAsia="Arial"/>
          <w:b/>
          <w:bCs/>
          <w:iCs/>
          <w:highlight w:val="none"/>
          <w:lang w:val="en-US"/>
        </w:rPr>
        <w:t>/MWh)</w:t>
      </w:r>
    </w:p>
    <w:p w14:paraId="739BC785">
      <w:pPr>
        <w:spacing w:after="0"/>
        <w:rPr>
          <w:rFonts w:hint="default" w:eastAsia="Arial"/>
          <w:highlight w:val="none"/>
          <w:lang w:val="es-ES"/>
        </w:rPr>
      </w:pPr>
      <w:r>
        <w:rPr>
          <w:rFonts w:eastAsia="Arial"/>
          <w:highlight w:val="none"/>
          <w:lang w:val="en-US"/>
        </w:rPr>
        <w:t xml:space="preserve">Based on the information from the Argentine Government: </w:t>
      </w:r>
      <w:r>
        <w:rPr>
          <w:b w:val="0"/>
          <w:bCs w:val="0"/>
          <w:highlight w:val="none"/>
        </w:rPr>
        <w:fldChar w:fldCharType="begin"/>
      </w:r>
      <w:r>
        <w:rPr>
          <w:b w:val="0"/>
          <w:bCs w:val="0"/>
          <w:highlight w:val="none"/>
        </w:rPr>
        <w:instrText xml:space="preserve"> HYPERLINK "https://www.argentina.gob.ar/economia/energia/energia-electrica/estadisticas" </w:instrText>
      </w:r>
      <w:r>
        <w:rPr>
          <w:b w:val="0"/>
          <w:bCs w:val="0"/>
          <w:highlight w:val="none"/>
        </w:rPr>
        <w:fldChar w:fldCharType="separate"/>
      </w:r>
      <w:r>
        <w:rPr>
          <w:rStyle w:val="20"/>
          <w:b w:val="0"/>
          <w:bCs w:val="0"/>
          <w:highlight w:val="none"/>
          <w:lang w:val="en-US"/>
        </w:rPr>
        <w:t>https://www.argentina.gob.ar/economia/energia/energia-electrica/estadisticas</w:t>
      </w:r>
      <w:r>
        <w:rPr>
          <w:rStyle w:val="20"/>
          <w:b w:val="0"/>
          <w:bCs w:val="0"/>
          <w:highlight w:val="none"/>
          <w:lang w:val="en-US"/>
        </w:rPr>
        <w:fldChar w:fldCharType="end"/>
      </w:r>
      <w:r>
        <w:rPr>
          <w:rFonts w:eastAsia="Arial"/>
          <w:b w:val="0"/>
          <w:bCs w:val="0"/>
          <w:highlight w:val="none"/>
          <w:lang w:val="en-US"/>
        </w:rPr>
        <w:t xml:space="preserve"> ;</w:t>
      </w:r>
      <w:r>
        <w:rPr>
          <w:b w:val="0"/>
          <w:bCs w:val="0"/>
          <w:highlight w:val="none"/>
        </w:rPr>
        <w:fldChar w:fldCharType="begin"/>
      </w:r>
      <w:r>
        <w:rPr>
          <w:b w:val="0"/>
          <w:bCs w:val="0"/>
          <w:highlight w:val="none"/>
        </w:rPr>
        <w:instrText xml:space="preserve"> HYPERLINK "https://cammesaweb.cammesa.com/download/factor-de-emision/" </w:instrText>
      </w:r>
      <w:r>
        <w:rPr>
          <w:b w:val="0"/>
          <w:bCs w:val="0"/>
          <w:highlight w:val="none"/>
        </w:rPr>
        <w:fldChar w:fldCharType="separate"/>
      </w:r>
      <w:r>
        <w:rPr>
          <w:rStyle w:val="20"/>
          <w:b w:val="0"/>
          <w:bCs w:val="0"/>
          <w:highlight w:val="none"/>
          <w:lang w:val="en-US"/>
        </w:rPr>
        <w:t>https://cammesaweb.cammesa.com/download/factor-de-emision/</w:t>
      </w:r>
      <w:r>
        <w:rPr>
          <w:rStyle w:val="20"/>
          <w:b w:val="0"/>
          <w:bCs w:val="0"/>
          <w:highlight w:val="none"/>
          <w:lang w:val="en-US"/>
        </w:rPr>
        <w:fldChar w:fldCharType="end"/>
      </w:r>
      <w:r>
        <w:rPr>
          <w:rStyle w:val="20"/>
          <w:b w:val="0"/>
          <w:bCs w:val="0"/>
          <w:highlight w:val="none"/>
          <w:lang w:val="en-US"/>
        </w:rPr>
        <w:t>.</w:t>
      </w:r>
      <w:r>
        <w:rPr>
          <w:rStyle w:val="20"/>
          <w:rFonts w:hint="default"/>
          <w:b w:val="0"/>
          <w:bCs w:val="0"/>
          <w:highlight w:val="none"/>
          <w:lang w:val="es-ES"/>
        </w:rPr>
        <w:t xml:space="preserve">, </w:t>
      </w:r>
      <w:r>
        <w:rPr>
          <w:rFonts w:hint="default" w:eastAsia="Arial"/>
          <w:b w:val="0"/>
          <w:bCs w:val="0"/>
          <w:highlight w:val="none"/>
          <w:lang w:val="es-ES"/>
        </w:rPr>
        <w:t>t</w:t>
      </w:r>
      <w:r>
        <w:rPr>
          <w:rFonts w:hint="default" w:eastAsia="Arial"/>
          <w:highlight w:val="none"/>
          <w:lang w:val="es-ES"/>
        </w:rPr>
        <w:t>he emission factor is an average of each years for the period.</w:t>
      </w:r>
    </w:p>
    <w:tbl>
      <w:tblPr>
        <w:tblStyle w:val="24"/>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944"/>
        <w:gridCol w:w="1048"/>
        <w:gridCol w:w="1048"/>
        <w:gridCol w:w="1048"/>
        <w:gridCol w:w="1048"/>
        <w:gridCol w:w="1048"/>
      </w:tblGrid>
      <w:tr w14:paraId="7BDF0F37">
        <w:tc>
          <w:tcPr>
            <w:tcW w:w="1854" w:type="dxa"/>
          </w:tcPr>
          <w:p w14:paraId="56DB9886">
            <w:pPr>
              <w:spacing w:before="0" w:after="0"/>
              <w:rPr>
                <w:bCs/>
                <w:color w:val="000000" w:themeColor="text1"/>
                <w:highlight w:val="none"/>
                <w:lang w:val="en-US"/>
                <w14:textFill>
                  <w14:solidFill>
                    <w14:schemeClr w14:val="tx1"/>
                  </w14:solidFill>
                </w14:textFill>
              </w:rPr>
            </w:pPr>
          </w:p>
        </w:tc>
        <w:tc>
          <w:tcPr>
            <w:tcW w:w="944" w:type="dxa"/>
          </w:tcPr>
          <w:p w14:paraId="604EFCC6">
            <w:pPr>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2018</w:t>
            </w:r>
          </w:p>
        </w:tc>
        <w:tc>
          <w:tcPr>
            <w:tcW w:w="1048" w:type="dxa"/>
            <w:vAlign w:val="bottom"/>
          </w:tcPr>
          <w:p w14:paraId="6CAD26E0">
            <w:pPr>
              <w:spacing w:before="0" w:after="0"/>
              <w:rPr>
                <w:bCs/>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2019</w:t>
            </w:r>
          </w:p>
        </w:tc>
        <w:tc>
          <w:tcPr>
            <w:tcW w:w="1048" w:type="dxa"/>
            <w:vAlign w:val="bottom"/>
          </w:tcPr>
          <w:p w14:paraId="70F0651B">
            <w:pPr>
              <w:spacing w:before="0" w:after="0"/>
              <w:rPr>
                <w:bCs/>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2020</w:t>
            </w:r>
          </w:p>
        </w:tc>
        <w:tc>
          <w:tcPr>
            <w:tcW w:w="1048" w:type="dxa"/>
            <w:vAlign w:val="bottom"/>
          </w:tcPr>
          <w:p w14:paraId="2684E585">
            <w:pPr>
              <w:spacing w:before="0" w:after="0"/>
              <w:rPr>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2021</w:t>
            </w:r>
          </w:p>
        </w:tc>
        <w:tc>
          <w:tcPr>
            <w:tcW w:w="1048" w:type="dxa"/>
            <w:vAlign w:val="bottom"/>
          </w:tcPr>
          <w:p w14:paraId="6E1A0C7E">
            <w:pPr>
              <w:spacing w:before="0" w:after="0"/>
              <w:rPr>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2022</w:t>
            </w:r>
          </w:p>
        </w:tc>
        <w:tc>
          <w:tcPr>
            <w:tcW w:w="1048" w:type="dxa"/>
          </w:tcPr>
          <w:p w14:paraId="03DDE0EE">
            <w:pPr>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2023</w:t>
            </w:r>
          </w:p>
        </w:tc>
      </w:tr>
      <w:tr w14:paraId="3D6DCE66">
        <w:trPr>
          <w:trHeight w:val="90" w:hRule="atLeast"/>
        </w:trPr>
        <w:tc>
          <w:tcPr>
            <w:tcW w:w="1854" w:type="dxa"/>
          </w:tcPr>
          <w:p w14:paraId="634CB458">
            <w:pPr>
              <w:spacing w:before="0" w:after="0"/>
              <w:rPr>
                <w:bCs/>
                <w:color w:val="000000" w:themeColor="text1"/>
                <w:highlight w:val="none"/>
                <w:lang w:val="en-US"/>
                <w14:textFill>
                  <w14:solidFill>
                    <w14:schemeClr w14:val="tx1"/>
                  </w14:solidFill>
                </w14:textFill>
              </w:rPr>
            </w:pPr>
            <w:r>
              <w:rPr>
                <w:bCs/>
                <w:color w:val="000000" w:themeColor="text1"/>
                <w:highlight w:val="none"/>
                <w:lang w:val="en-US"/>
                <w14:textFill>
                  <w14:solidFill>
                    <w14:schemeClr w14:val="tx1"/>
                  </w14:solidFill>
                </w14:textFill>
              </w:rPr>
              <w:t>EF</w:t>
            </w:r>
            <w:r>
              <w:rPr>
                <w:bCs/>
                <w:color w:val="000000" w:themeColor="text1"/>
                <w:highlight w:val="none"/>
                <w:vertAlign w:val="subscript"/>
                <w:lang w:val="en-US"/>
                <w14:textFill>
                  <w14:solidFill>
                    <w14:schemeClr w14:val="tx1"/>
                  </w14:solidFill>
                </w14:textFill>
              </w:rPr>
              <w:t>,EF,j,y</w:t>
            </w:r>
            <w:r>
              <w:rPr>
                <w:bCs/>
                <w:color w:val="000000" w:themeColor="text1"/>
                <w:highlight w:val="none"/>
                <w:lang w:val="en-US"/>
                <w14:textFill>
                  <w14:solidFill>
                    <w14:schemeClr w14:val="tx1"/>
                  </w14:solidFill>
                </w14:textFill>
              </w:rPr>
              <w:t xml:space="preserve"> (</w:t>
            </w:r>
            <w:r>
              <w:rPr>
                <w:rFonts w:hint="default" w:ascii="Arial Regular" w:hAnsi="Arial Regular" w:eastAsia="SimSun" w:cs="Arial Regular"/>
                <w:i w:val="0"/>
                <w:iCs w:val="0"/>
                <w:color w:val="000000"/>
                <w:kern w:val="0"/>
                <w:sz w:val="22"/>
                <w:szCs w:val="22"/>
                <w:highlight w:val="none"/>
                <w:u w:val="none"/>
                <w:lang w:val="es-ES" w:eastAsia="zh-CN" w:bidi="ar"/>
              </w:rPr>
              <w:t>t CO</w:t>
            </w:r>
            <w:r>
              <w:rPr>
                <w:rFonts w:hint="default" w:ascii="Arial Regular" w:hAnsi="Arial Regular" w:eastAsia="SimSun" w:cs="Arial Regular"/>
                <w:i w:val="0"/>
                <w:iCs w:val="0"/>
                <w:color w:val="000000"/>
                <w:kern w:val="0"/>
                <w:sz w:val="22"/>
                <w:szCs w:val="22"/>
                <w:highlight w:val="none"/>
                <w:u w:val="none"/>
                <w:vertAlign w:val="subscript"/>
                <w:lang w:val="es-ES" w:eastAsia="zh-CN" w:bidi="ar"/>
              </w:rPr>
              <w:t>2</w:t>
            </w:r>
            <w:r>
              <w:rPr>
                <w:rFonts w:hint="default" w:ascii="Arial Regular" w:hAnsi="Arial Regular" w:eastAsia="SimSun" w:cs="Arial Regular"/>
                <w:i w:val="0"/>
                <w:iCs w:val="0"/>
                <w:color w:val="000000"/>
                <w:kern w:val="0"/>
                <w:sz w:val="22"/>
                <w:szCs w:val="22"/>
                <w:highlight w:val="none"/>
                <w:u w:val="none"/>
                <w:vertAlign w:val="baseline"/>
                <w:lang w:val="es-ES" w:eastAsia="zh-CN" w:bidi="ar"/>
              </w:rPr>
              <w:t xml:space="preserve"> e /MWh</w:t>
            </w:r>
            <w:r>
              <w:rPr>
                <w:bCs/>
                <w:color w:val="000000" w:themeColor="text1"/>
                <w:highlight w:val="none"/>
                <w:lang w:val="en-US"/>
                <w14:textFill>
                  <w14:solidFill>
                    <w14:schemeClr w14:val="tx1"/>
                  </w14:solidFill>
                </w14:textFill>
              </w:rPr>
              <w:t>)</w:t>
            </w:r>
          </w:p>
        </w:tc>
        <w:tc>
          <w:tcPr>
            <w:tcW w:w="944" w:type="dxa"/>
            <w:vAlign w:val="bottom"/>
          </w:tcPr>
          <w:p w14:paraId="571684A6">
            <w:pPr>
              <w:spacing w:before="0" w:after="0"/>
              <w:rPr>
                <w:bCs/>
                <w:color w:val="000000" w:themeColor="text1"/>
                <w:highlight w:val="none"/>
                <w:lang w:val="en-US"/>
                <w14:textFill>
                  <w14:solidFill>
                    <w14:schemeClr w14:val="tx1"/>
                  </w14:solidFill>
                </w14:textFill>
              </w:rPr>
            </w:pPr>
            <w:r>
              <w:rPr>
                <w:color w:val="000000" w:themeColor="text1"/>
                <w:sz w:val="20"/>
                <w:szCs w:val="20"/>
                <w:highlight w:val="none"/>
                <w14:textFill>
                  <w14:solidFill>
                    <w14:schemeClr w14:val="tx1"/>
                  </w14:solidFill>
                </w14:textFill>
              </w:rPr>
              <w:t>0,296</w:t>
            </w:r>
          </w:p>
        </w:tc>
        <w:tc>
          <w:tcPr>
            <w:tcW w:w="1048" w:type="dxa"/>
            <w:vAlign w:val="bottom"/>
          </w:tcPr>
          <w:p w14:paraId="0912C191">
            <w:pPr>
              <w:spacing w:before="0" w:after="0"/>
              <w:rPr>
                <w:bCs/>
                <w:color w:val="000000" w:themeColor="text1"/>
                <w:highlight w:val="none"/>
                <w:lang w:val="en-US"/>
                <w14:textFill>
                  <w14:solidFill>
                    <w14:schemeClr w14:val="tx1"/>
                  </w14:solidFill>
                </w14:textFill>
              </w:rPr>
            </w:pPr>
            <w:r>
              <w:rPr>
                <w:color w:val="000000" w:themeColor="text1"/>
                <w:sz w:val="20"/>
                <w:szCs w:val="20"/>
                <w:highlight w:val="none"/>
                <w14:textFill>
                  <w14:solidFill>
                    <w14:schemeClr w14:val="tx1"/>
                  </w14:solidFill>
                </w14:textFill>
              </w:rPr>
              <w:t>0,267</w:t>
            </w:r>
          </w:p>
        </w:tc>
        <w:tc>
          <w:tcPr>
            <w:tcW w:w="1048" w:type="dxa"/>
            <w:vAlign w:val="bottom"/>
          </w:tcPr>
          <w:p w14:paraId="2C5851F7">
            <w:pPr>
              <w:spacing w:before="0" w:after="0"/>
              <w:rPr>
                <w:bCs/>
                <w:color w:val="000000" w:themeColor="text1"/>
                <w:highlight w:val="none"/>
                <w:lang w:val="en-US"/>
                <w14:textFill>
                  <w14:solidFill>
                    <w14:schemeClr w14:val="tx1"/>
                  </w14:solidFill>
                </w14:textFill>
              </w:rPr>
            </w:pPr>
            <w:r>
              <w:rPr>
                <w:color w:val="000000" w:themeColor="text1"/>
                <w:sz w:val="20"/>
                <w:szCs w:val="20"/>
                <w:highlight w:val="none"/>
                <w14:textFill>
                  <w14:solidFill>
                    <w14:schemeClr w14:val="tx1"/>
                  </w14:solidFill>
                </w14:textFill>
              </w:rPr>
              <w:t>0,275</w:t>
            </w:r>
          </w:p>
        </w:tc>
        <w:tc>
          <w:tcPr>
            <w:tcW w:w="1048" w:type="dxa"/>
            <w:vAlign w:val="bottom"/>
          </w:tcPr>
          <w:p w14:paraId="211871B4">
            <w:pPr>
              <w:spacing w:before="0" w:after="0"/>
              <w:rPr>
                <w:bCs/>
                <w:color w:val="000000" w:themeColor="text1"/>
                <w:highlight w:val="none"/>
                <w:lang w:val="en-US"/>
                <w14:textFill>
                  <w14:solidFill>
                    <w14:schemeClr w14:val="tx1"/>
                  </w14:solidFill>
                </w14:textFill>
              </w:rPr>
            </w:pPr>
            <w:r>
              <w:rPr>
                <w:color w:val="000000" w:themeColor="text1"/>
                <w:sz w:val="20"/>
                <w:szCs w:val="20"/>
                <w:highlight w:val="none"/>
                <w14:textFill>
                  <w14:solidFill>
                    <w14:schemeClr w14:val="tx1"/>
                  </w14:solidFill>
                </w14:textFill>
              </w:rPr>
              <w:t>0,292</w:t>
            </w:r>
          </w:p>
        </w:tc>
        <w:tc>
          <w:tcPr>
            <w:tcW w:w="1048" w:type="dxa"/>
            <w:vAlign w:val="bottom"/>
          </w:tcPr>
          <w:p w14:paraId="3979F34F">
            <w:pPr>
              <w:spacing w:before="0" w:after="0"/>
              <w:rPr>
                <w:bCs/>
                <w:color w:val="000000" w:themeColor="text1"/>
                <w:highlight w:val="none"/>
                <w:lang w:val="en-US"/>
                <w14:textFill>
                  <w14:solidFill>
                    <w14:schemeClr w14:val="tx1"/>
                  </w14:solidFill>
                </w14:textFill>
              </w:rPr>
            </w:pPr>
            <w:r>
              <w:rPr>
                <w:color w:val="000000" w:themeColor="text1"/>
                <w:sz w:val="20"/>
                <w:szCs w:val="20"/>
                <w:highlight w:val="none"/>
                <w14:textFill>
                  <w14:solidFill>
                    <w14:schemeClr w14:val="tx1"/>
                  </w14:solidFill>
                </w14:textFill>
              </w:rPr>
              <w:t>0,2717</w:t>
            </w:r>
          </w:p>
        </w:tc>
        <w:tc>
          <w:tcPr>
            <w:tcW w:w="1048" w:type="dxa"/>
          </w:tcPr>
          <w:p w14:paraId="550A383D">
            <w:pPr>
              <w:spacing w:before="0" w:after="0"/>
              <w:rPr>
                <w:color w:val="000000" w:themeColor="text1"/>
                <w:sz w:val="20"/>
                <w:szCs w:val="20"/>
                <w:highlight w:val="none"/>
                <w14:textFill>
                  <w14:solidFill>
                    <w14:schemeClr w14:val="tx1"/>
                  </w14:solidFill>
                </w14:textFill>
              </w:rPr>
            </w:pPr>
            <w:r>
              <w:rPr>
                <w:color w:val="000000" w:themeColor="text1"/>
                <w:sz w:val="20"/>
                <w:szCs w:val="20"/>
                <w:highlight w:val="none"/>
                <w14:textFill>
                  <w14:solidFill>
                    <w14:schemeClr w14:val="tx1"/>
                  </w14:solidFill>
                </w14:textFill>
              </w:rPr>
              <w:t>0,231</w:t>
            </w:r>
          </w:p>
        </w:tc>
      </w:tr>
    </w:tbl>
    <w:p w14:paraId="431D6265">
      <w:pPr>
        <w:spacing w:after="0"/>
        <w:rPr>
          <w:rFonts w:hint="default" w:eastAsia="Arial"/>
          <w:highlight w:val="none"/>
          <w:lang w:val="es-ES"/>
        </w:rPr>
      </w:pPr>
      <w:r>
        <w:rPr>
          <w:rFonts w:hint="default" w:eastAsia="Arial"/>
          <w:highlight w:val="none"/>
          <w:lang w:val="es-ES"/>
        </w:rPr>
        <w:t>So,</w:t>
      </w:r>
    </w:p>
    <w:tbl>
      <w:tblPr>
        <w:tblStyle w:val="12"/>
        <w:tblW w:w="99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98"/>
        <w:gridCol w:w="1684"/>
        <w:gridCol w:w="1684"/>
        <w:gridCol w:w="1684"/>
        <w:gridCol w:w="1684"/>
        <w:gridCol w:w="1684"/>
      </w:tblGrid>
      <w:tr w14:paraId="67F1FB27">
        <w:trPr>
          <w:trHeight w:val="90" w:hRule="atLeast"/>
          <w:jc w:val="center"/>
        </w:trPr>
        <w:tc>
          <w:tcPr>
            <w:tcW w:w="1498" w:type="dxa"/>
            <w:tcBorders>
              <w:top w:val="single" w:color="000000" w:sz="8" w:space="0"/>
              <w:left w:val="single" w:color="000000" w:sz="8" w:space="0"/>
              <w:bottom w:val="single" w:color="000000" w:sz="4" w:space="0"/>
              <w:right w:val="single" w:color="000000" w:sz="4" w:space="0"/>
            </w:tcBorders>
            <w:shd w:val="clear" w:color="auto" w:fill="FFFFFF" w:themeFill="background1"/>
            <w:noWrap/>
            <w:vAlign w:val="center"/>
          </w:tcPr>
          <w:p w14:paraId="1A25A2BC">
            <w:pPr>
              <w:spacing w:before="0" w:after="0"/>
              <w:jc w:val="center"/>
              <w:rPr>
                <w:rFonts w:hint="default"/>
                <w:color w:val="000000" w:themeColor="text1"/>
                <w:highlight w:val="none"/>
                <w:lang w:val="es-ES"/>
                <w14:textFill>
                  <w14:solidFill>
                    <w14:schemeClr w14:val="tx1"/>
                  </w14:solidFill>
                </w14:textFill>
              </w:rPr>
            </w:pPr>
            <w:r>
              <w:rPr>
                <w:rFonts w:hint="default"/>
                <w:color w:val="000000" w:themeColor="text1"/>
                <w:highlight w:val="none"/>
                <w:lang w:val="es-ES"/>
                <w14:textFill>
                  <w14:solidFill>
                    <w14:schemeClr w14:val="tx1"/>
                  </w14:solidFill>
                </w14:textFill>
              </w:rPr>
              <w:t>PERIOD / YEAR</w:t>
            </w:r>
          </w:p>
        </w:tc>
        <w:tc>
          <w:tcPr>
            <w:tcW w:w="1684"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66AD4697">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1</w:t>
            </w:r>
          </w:p>
          <w:p w14:paraId="598D8272">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/2018-31/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/2019</w:t>
            </w:r>
          </w:p>
        </w:tc>
        <w:tc>
          <w:tcPr>
            <w:tcW w:w="1684"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21A6244E">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2</w:t>
            </w:r>
          </w:p>
          <w:p w14:paraId="0E581D7D">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/2019-31/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/2020</w:t>
            </w:r>
          </w:p>
        </w:tc>
        <w:tc>
          <w:tcPr>
            <w:tcW w:w="1684"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1BD1C4B6">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3</w:t>
            </w:r>
          </w:p>
          <w:p w14:paraId="4453876C">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/2020-31/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/2021</w:t>
            </w:r>
          </w:p>
        </w:tc>
        <w:tc>
          <w:tcPr>
            <w:tcW w:w="1684"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748A24AF">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4</w:t>
            </w:r>
          </w:p>
          <w:p w14:paraId="1BD9ED43">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/2021-31/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/2022</w:t>
            </w:r>
          </w:p>
        </w:tc>
        <w:tc>
          <w:tcPr>
            <w:tcW w:w="1684" w:type="dxa"/>
            <w:tcBorders>
              <w:top w:val="single" w:color="000000" w:sz="8" w:space="0"/>
              <w:left w:val="single" w:color="000000" w:sz="4" w:space="0"/>
              <w:bottom w:val="single" w:color="000000" w:sz="4" w:space="0"/>
              <w:right w:val="single" w:color="000000" w:sz="4" w:space="0"/>
            </w:tcBorders>
            <w:shd w:val="clear" w:color="auto" w:fill="FFFFFF" w:themeFill="background1"/>
            <w:vAlign w:val="center"/>
          </w:tcPr>
          <w:p w14:paraId="693DF844">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5</w:t>
            </w:r>
          </w:p>
          <w:p w14:paraId="342C681C">
            <w:pPr>
              <w:spacing w:before="0" w:after="0"/>
              <w:jc w:val="center"/>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/2022-31/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/2023</w:t>
            </w:r>
          </w:p>
        </w:tc>
      </w:tr>
      <w:tr w14:paraId="1E1C287D">
        <w:trPr>
          <w:trHeight w:val="90" w:hRule="atLeast"/>
          <w:jc w:val="center"/>
        </w:trPr>
        <w:tc>
          <w:tcPr>
            <w:tcW w:w="1498" w:type="dxa"/>
            <w:tcBorders>
              <w:top w:val="single" w:color="000000" w:sz="4" w:space="0"/>
              <w:left w:val="single" w:color="000000" w:sz="8" w:space="0"/>
              <w:bottom w:val="single" w:color="000000" w:sz="8" w:space="0"/>
              <w:right w:val="single" w:color="000000" w:sz="4" w:space="0"/>
            </w:tcBorders>
            <w:shd w:val="clear" w:color="auto" w:fill="FFFFFF" w:themeFill="background1"/>
            <w:noWrap/>
            <w:vAlign w:val="center"/>
          </w:tcPr>
          <w:p w14:paraId="145ED63F">
            <w:pPr>
              <w:spacing w:before="0" w:after="0"/>
              <w:jc w:val="center"/>
              <w:rPr>
                <w:rFonts w:hint="default"/>
                <w:color w:val="000000" w:themeColor="text1"/>
                <w:highlight w:val="none"/>
                <w14:textFill>
                  <w14:solidFill>
                    <w14:schemeClr w14:val="tx1"/>
                  </w14:solidFill>
                </w14:textFill>
              </w:rPr>
            </w:pPr>
            <w:r>
              <w:rPr>
                <w:bCs/>
                <w:color w:val="000000" w:themeColor="text1"/>
                <w:highlight w:val="none"/>
                <w:lang w:val="en-US"/>
                <w14:textFill>
                  <w14:solidFill>
                    <w14:schemeClr w14:val="tx1"/>
                  </w14:solidFill>
                </w14:textFill>
              </w:rPr>
              <w:t>EF</w:t>
            </w:r>
            <w:r>
              <w:rPr>
                <w:bCs/>
                <w:color w:val="000000" w:themeColor="text1"/>
                <w:highlight w:val="none"/>
                <w:vertAlign w:val="subscript"/>
                <w:lang w:val="en-US"/>
                <w14:textFill>
                  <w14:solidFill>
                    <w14:schemeClr w14:val="tx1"/>
                  </w14:solidFill>
                </w14:textFill>
              </w:rPr>
              <w:t>,EF,j,y</w:t>
            </w:r>
            <w:r>
              <w:rPr>
                <w:bCs/>
                <w:color w:val="000000" w:themeColor="text1"/>
                <w:highlight w:val="none"/>
                <w:lang w:val="en-US"/>
                <w14:textFill>
                  <w14:solidFill>
                    <w14:schemeClr w14:val="tx1"/>
                  </w14:solidFill>
                </w14:textFill>
              </w:rPr>
              <w:t xml:space="preserve"> (</w:t>
            </w:r>
            <w:r>
              <w:rPr>
                <w:rFonts w:hint="default" w:ascii="Arial Regular" w:hAnsi="Arial Regular" w:eastAsia="SimSun" w:cs="Arial Regular"/>
                <w:i w:val="0"/>
                <w:iCs w:val="0"/>
                <w:color w:val="000000"/>
                <w:kern w:val="0"/>
                <w:sz w:val="22"/>
                <w:szCs w:val="22"/>
                <w:highlight w:val="none"/>
                <w:u w:val="none"/>
                <w:lang w:val="es-ES" w:eastAsia="zh-CN" w:bidi="ar"/>
              </w:rPr>
              <w:t>t CO</w:t>
            </w:r>
            <w:r>
              <w:rPr>
                <w:rFonts w:hint="default" w:ascii="Arial Regular" w:hAnsi="Arial Regular" w:eastAsia="SimSun" w:cs="Arial Regular"/>
                <w:i w:val="0"/>
                <w:iCs w:val="0"/>
                <w:color w:val="000000"/>
                <w:kern w:val="0"/>
                <w:sz w:val="22"/>
                <w:szCs w:val="22"/>
                <w:highlight w:val="none"/>
                <w:u w:val="none"/>
                <w:vertAlign w:val="subscript"/>
                <w:lang w:val="es-ES" w:eastAsia="zh-CN" w:bidi="ar"/>
              </w:rPr>
              <w:t>2</w:t>
            </w:r>
            <w:r>
              <w:rPr>
                <w:rFonts w:hint="default" w:ascii="Arial Regular" w:hAnsi="Arial Regular" w:eastAsia="SimSun" w:cs="Arial Regular"/>
                <w:i w:val="0"/>
                <w:iCs w:val="0"/>
                <w:color w:val="000000"/>
                <w:kern w:val="0"/>
                <w:sz w:val="22"/>
                <w:szCs w:val="22"/>
                <w:highlight w:val="none"/>
                <w:u w:val="none"/>
                <w:vertAlign w:val="baseline"/>
                <w:lang w:val="es-ES" w:eastAsia="zh-CN" w:bidi="ar"/>
              </w:rPr>
              <w:t xml:space="preserve"> e /MWh</w:t>
            </w:r>
            <w:r>
              <w:rPr>
                <w:bCs/>
                <w:color w:val="000000" w:themeColor="text1"/>
                <w:highlight w:val="none"/>
                <w:lang w:val="en-US"/>
                <w14:textFill>
                  <w14:solidFill>
                    <w14:schemeClr w14:val="tx1"/>
                  </w14:solidFill>
                </w14:textFill>
              </w:rPr>
              <w:t>)</w:t>
            </w:r>
          </w:p>
        </w:tc>
        <w:tc>
          <w:tcPr>
            <w:tcW w:w="1684" w:type="dxa"/>
            <w:tcBorders>
              <w:top w:val="single" w:color="000000" w:sz="4" w:space="0"/>
              <w:left w:val="single" w:color="000000" w:sz="4" w:space="0"/>
              <w:bottom w:val="single" w:color="000000" w:sz="8" w:space="0"/>
              <w:right w:val="single" w:color="000000" w:sz="4" w:space="0"/>
            </w:tcBorders>
            <w:shd w:val="clear" w:color="auto" w:fill="FFFFFF" w:themeFill="background1"/>
            <w:vAlign w:val="center"/>
          </w:tcPr>
          <w:p w14:paraId="3B6C6B4D">
            <w:pPr>
              <w:spacing w:before="0" w:after="0"/>
              <w:jc w:val="center"/>
              <w:rPr>
                <w:rFonts w:hint="default"/>
                <w:color w:val="000000" w:themeColor="text1"/>
                <w:highlight w:val="none"/>
                <w:lang w:val="es-ES"/>
                <w14:textFill>
                  <w14:solidFill>
                    <w14:schemeClr w14:val="tx1"/>
                  </w14:solidFill>
                </w14:textFill>
              </w:rPr>
            </w:pPr>
            <w:r>
              <w:rPr>
                <w:rFonts w:hint="default"/>
                <w:color w:val="000000" w:themeColor="text1"/>
                <w:highlight w:val="none"/>
                <w:lang w:val="es-ES"/>
                <w14:textFill>
                  <w14:solidFill>
                    <w14:schemeClr w14:val="tx1"/>
                  </w14:solidFill>
                </w14:textFill>
              </w:rPr>
              <w:t>0,2815</w:t>
            </w:r>
          </w:p>
        </w:tc>
        <w:tc>
          <w:tcPr>
            <w:tcW w:w="1684" w:type="dxa"/>
            <w:tcBorders>
              <w:top w:val="single" w:color="000000" w:sz="4" w:space="0"/>
              <w:left w:val="single" w:color="000000" w:sz="4" w:space="0"/>
              <w:bottom w:val="single" w:color="000000" w:sz="8" w:space="0"/>
              <w:right w:val="single" w:color="000000" w:sz="4" w:space="0"/>
            </w:tcBorders>
            <w:shd w:val="clear" w:color="auto" w:fill="FFFFFF" w:themeFill="background1"/>
            <w:vAlign w:val="center"/>
          </w:tcPr>
          <w:p w14:paraId="41460F2B">
            <w:pPr>
              <w:spacing w:before="0" w:after="0"/>
              <w:jc w:val="center"/>
              <w:rPr>
                <w:rFonts w:hint="default"/>
                <w:color w:val="000000" w:themeColor="text1"/>
                <w:highlight w:val="none"/>
                <w:lang w:val="es-ES"/>
                <w14:textFill>
                  <w14:solidFill>
                    <w14:schemeClr w14:val="tx1"/>
                  </w14:solidFill>
                </w14:textFill>
              </w:rPr>
            </w:pPr>
            <w:r>
              <w:rPr>
                <w:rFonts w:hint="default"/>
                <w:color w:val="000000" w:themeColor="text1"/>
                <w:highlight w:val="none"/>
                <w:lang w:val="es-ES"/>
                <w14:textFill>
                  <w14:solidFill>
                    <w14:schemeClr w14:val="tx1"/>
                  </w14:solidFill>
                </w14:textFill>
              </w:rPr>
              <w:t>0,271</w:t>
            </w:r>
          </w:p>
        </w:tc>
        <w:tc>
          <w:tcPr>
            <w:tcW w:w="1684" w:type="dxa"/>
            <w:tcBorders>
              <w:top w:val="single" w:color="000000" w:sz="4" w:space="0"/>
              <w:left w:val="single" w:color="000000" w:sz="4" w:space="0"/>
              <w:bottom w:val="single" w:color="000000" w:sz="8" w:space="0"/>
              <w:right w:val="single" w:color="000000" w:sz="4" w:space="0"/>
            </w:tcBorders>
            <w:shd w:val="clear" w:color="auto" w:fill="FFFFFF" w:themeFill="background1"/>
            <w:vAlign w:val="center"/>
          </w:tcPr>
          <w:p w14:paraId="04F8ADFE">
            <w:pPr>
              <w:spacing w:before="0" w:after="0"/>
              <w:jc w:val="center"/>
              <w:rPr>
                <w:rFonts w:hint="default"/>
                <w:color w:val="000000" w:themeColor="text1"/>
                <w:highlight w:val="none"/>
                <w:lang w:val="es-ES"/>
                <w14:textFill>
                  <w14:solidFill>
                    <w14:schemeClr w14:val="tx1"/>
                  </w14:solidFill>
                </w14:textFill>
              </w:rPr>
            </w:pPr>
            <w:r>
              <w:rPr>
                <w:rFonts w:hint="default"/>
                <w:color w:val="000000" w:themeColor="text1"/>
                <w:highlight w:val="none"/>
                <w:lang w:val="es-ES"/>
                <w14:textFill>
                  <w14:solidFill>
                    <w14:schemeClr w14:val="tx1"/>
                  </w14:solidFill>
                </w14:textFill>
              </w:rPr>
              <w:t>0,2835</w:t>
            </w:r>
          </w:p>
        </w:tc>
        <w:tc>
          <w:tcPr>
            <w:tcW w:w="1684" w:type="dxa"/>
            <w:tcBorders>
              <w:top w:val="single" w:color="000000" w:sz="4" w:space="0"/>
              <w:left w:val="single" w:color="000000" w:sz="4" w:space="0"/>
              <w:bottom w:val="single" w:color="000000" w:sz="8" w:space="0"/>
              <w:right w:val="single" w:color="000000" w:sz="4" w:space="0"/>
            </w:tcBorders>
            <w:shd w:val="clear" w:color="auto" w:fill="FFFFFF" w:themeFill="background1"/>
            <w:vAlign w:val="center"/>
          </w:tcPr>
          <w:p w14:paraId="557931E4">
            <w:pPr>
              <w:spacing w:before="0" w:after="0"/>
              <w:jc w:val="center"/>
              <w:rPr>
                <w:rFonts w:hint="default"/>
                <w:color w:val="000000" w:themeColor="text1"/>
                <w:highlight w:val="none"/>
                <w:lang w:val="es-ES"/>
                <w14:textFill>
                  <w14:solidFill>
                    <w14:schemeClr w14:val="tx1"/>
                  </w14:solidFill>
                </w14:textFill>
              </w:rPr>
            </w:pPr>
            <w:r>
              <w:rPr>
                <w:rFonts w:hint="default"/>
                <w:color w:val="000000" w:themeColor="text1"/>
                <w:highlight w:val="none"/>
                <w:lang w:val="es-ES" w:eastAsia="zh-CN"/>
                <w14:textFill>
                  <w14:solidFill>
                    <w14:schemeClr w14:val="tx1"/>
                  </w14:solidFill>
                </w14:textFill>
              </w:rPr>
              <w:t>0,28185</w:t>
            </w:r>
          </w:p>
        </w:tc>
        <w:tc>
          <w:tcPr>
            <w:tcW w:w="1684" w:type="dxa"/>
            <w:tcBorders>
              <w:top w:val="single" w:color="000000" w:sz="4" w:space="0"/>
              <w:left w:val="single" w:color="000000" w:sz="4" w:space="0"/>
              <w:bottom w:val="single" w:color="000000" w:sz="8" w:space="0"/>
              <w:right w:val="single" w:color="000000" w:sz="4" w:space="0"/>
            </w:tcBorders>
            <w:shd w:val="clear" w:color="auto" w:fill="FFFFFF" w:themeFill="background1"/>
            <w:vAlign w:val="center"/>
          </w:tcPr>
          <w:p w14:paraId="665EA803">
            <w:pPr>
              <w:spacing w:before="0" w:after="0"/>
              <w:jc w:val="center"/>
              <w:rPr>
                <w:rFonts w:hint="default"/>
                <w:color w:val="000000" w:themeColor="text1"/>
                <w:highlight w:val="none"/>
                <w:lang w:val="es-ES"/>
                <w14:textFill>
                  <w14:solidFill>
                    <w14:schemeClr w14:val="tx1"/>
                  </w14:solidFill>
                </w14:textFill>
              </w:rPr>
            </w:pPr>
            <w:r>
              <w:rPr>
                <w:rFonts w:hint="default"/>
                <w:color w:val="000000" w:themeColor="text1"/>
                <w:highlight w:val="none"/>
                <w:lang w:val="es-ES" w:eastAsia="zh-CN"/>
                <w14:textFill>
                  <w14:solidFill>
                    <w14:schemeClr w14:val="tx1"/>
                  </w14:solidFill>
                </w14:textFill>
              </w:rPr>
              <w:t>0,25135</w:t>
            </w:r>
          </w:p>
        </w:tc>
      </w:tr>
    </w:tbl>
    <w:p w14:paraId="2F7342E0">
      <w:pPr>
        <w:ind w:firstLine="708"/>
        <w:rPr>
          <w:rFonts w:eastAsia="Arial"/>
          <w:b/>
          <w:bCs/>
          <w:iCs/>
          <w:highlight w:val="none"/>
          <w:lang w:val="en-US"/>
        </w:rPr>
      </w:pPr>
    </w:p>
    <w:p w14:paraId="57A55385">
      <w:pPr>
        <w:ind w:firstLine="708"/>
        <w:rPr>
          <w:rFonts w:eastAsia="Arial"/>
          <w:iCs/>
          <w:highlight w:val="none"/>
          <w:lang w:val="en-US"/>
        </w:rPr>
      </w:pPr>
      <w:r>
        <w:rPr>
          <w:rFonts w:eastAsia="Arial"/>
          <w:b/>
          <w:bCs/>
          <w:iCs/>
          <w:highlight w:val="none"/>
          <w:lang w:val="en-US"/>
        </w:rPr>
        <w:t>Average technical transmission and distribution losses for providing electricity to source j in year y (TDL).</w:t>
      </w:r>
    </w:p>
    <w:p w14:paraId="689BB5BC">
      <w:pPr>
        <w:rPr>
          <w:rFonts w:eastAsia="Arial"/>
          <w:iCs/>
          <w:highlight w:val="none"/>
          <w:lang w:val="en-US"/>
        </w:rPr>
      </w:pPr>
      <w:r>
        <w:rPr>
          <w:rFonts w:eastAsia="Arial"/>
          <w:iCs/>
          <w:highlight w:val="none"/>
          <w:lang w:val="en-US"/>
        </w:rPr>
        <w:t xml:space="preserve">Based on The Wolrd Bank stadistics (IEA), the electric power transmission and distribution losses (% of outputs) in Argentina is 15%. So, </w:t>
      </w:r>
      <w:r>
        <w:rPr>
          <w:rFonts w:eastAsia="Arial Unicode MS"/>
          <w:b/>
          <w:bCs/>
          <w:iCs/>
          <w:highlight w:val="none"/>
          <w:lang w:val="en-US"/>
        </w:rPr>
        <w:t>TDL</w:t>
      </w:r>
      <w:r>
        <w:rPr>
          <w:rFonts w:eastAsia="Arial Unicode MS"/>
          <w:b/>
          <w:bCs/>
          <w:iCs/>
          <w:highlight w:val="none"/>
          <w:vertAlign w:val="subscript"/>
          <w:lang w:val="en-US"/>
        </w:rPr>
        <w:t xml:space="preserve">j,y </w:t>
      </w:r>
      <w:r>
        <w:rPr>
          <w:rFonts w:eastAsia="Arial Unicode MS"/>
          <w:b/>
          <w:bCs/>
          <w:iCs/>
          <w:highlight w:val="none"/>
          <w:lang w:val="en-US"/>
        </w:rPr>
        <w:t>= 15%</w:t>
      </w:r>
    </w:p>
    <w:p w14:paraId="76E8FAEC">
      <w:pPr>
        <w:spacing w:after="0"/>
        <w:rPr>
          <w:highlight w:val="none"/>
          <w:lang w:val="en-US"/>
        </w:rPr>
      </w:pPr>
      <w:r>
        <w:rPr>
          <w:highlight w:val="none"/>
          <w:lang w:val="en-US"/>
        </w:rPr>
        <w:t>So, the results of the project emission from electricity consumption are:</w:t>
      </w:r>
    </w:p>
    <w:tbl>
      <w:tblPr>
        <w:tblStyle w:val="12"/>
        <w:tblW w:w="9502" w:type="dxa"/>
        <w:tblInd w:w="-3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104"/>
        <w:gridCol w:w="1665"/>
        <w:gridCol w:w="1644"/>
        <w:gridCol w:w="1743"/>
        <w:gridCol w:w="1663"/>
        <w:gridCol w:w="1683"/>
      </w:tblGrid>
      <w:tr w14:paraId="7758AAE5">
        <w:trPr>
          <w:trHeight w:val="320" w:hRule="atLeast"/>
        </w:trPr>
        <w:tc>
          <w:tcPr>
            <w:tcW w:w="1104" w:type="dxa"/>
            <w:shd w:val="clear" w:color="auto" w:fill="auto"/>
            <w:noWrap/>
            <w:vAlign w:val="center"/>
          </w:tcPr>
          <w:p w14:paraId="62A3FCD3">
            <w:pPr>
              <w:spacing w:before="0" w:after="0"/>
              <w:jc w:val="center"/>
              <w:rPr>
                <w:rFonts w:eastAsia="Arial"/>
                <w:highlight w:val="none"/>
                <w:lang w:val="en-US"/>
              </w:rPr>
            </w:pPr>
            <w:r>
              <w:rPr>
                <w:rFonts w:hint="default"/>
                <w:color w:val="000000" w:themeColor="text1"/>
                <w:highlight w:val="none"/>
                <w:lang w:val="es-ES"/>
                <w14:textFill>
                  <w14:solidFill>
                    <w14:schemeClr w14:val="tx1"/>
                  </w14:solidFill>
                </w14:textFill>
              </w:rPr>
              <w:t xml:space="preserve"> YEAR</w:t>
            </w:r>
          </w:p>
        </w:tc>
        <w:tc>
          <w:tcPr>
            <w:tcW w:w="1665" w:type="dxa"/>
            <w:shd w:val="clear" w:color="auto" w:fill="auto"/>
            <w:noWrap/>
            <w:vAlign w:val="center"/>
          </w:tcPr>
          <w:p w14:paraId="3D518497">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1</w:t>
            </w:r>
          </w:p>
          <w:p w14:paraId="1ECDC51C">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/2018-31/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/2019</w:t>
            </w:r>
          </w:p>
        </w:tc>
        <w:tc>
          <w:tcPr>
            <w:tcW w:w="1644" w:type="dxa"/>
            <w:shd w:val="clear" w:color="auto" w:fill="auto"/>
            <w:noWrap/>
            <w:vAlign w:val="center"/>
          </w:tcPr>
          <w:p w14:paraId="68EE8421">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2</w:t>
            </w:r>
          </w:p>
          <w:p w14:paraId="0CA08184">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/2019-31/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/2020</w:t>
            </w:r>
          </w:p>
        </w:tc>
        <w:tc>
          <w:tcPr>
            <w:tcW w:w="1743" w:type="dxa"/>
            <w:shd w:val="clear" w:color="auto" w:fill="auto"/>
            <w:noWrap/>
            <w:vAlign w:val="center"/>
          </w:tcPr>
          <w:p w14:paraId="2C169486">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3</w:t>
            </w:r>
          </w:p>
          <w:p w14:paraId="354FAA6E">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/2020-31/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/2021</w:t>
            </w:r>
          </w:p>
        </w:tc>
        <w:tc>
          <w:tcPr>
            <w:tcW w:w="1663" w:type="dxa"/>
            <w:shd w:val="clear" w:color="auto" w:fill="auto"/>
            <w:noWrap/>
            <w:vAlign w:val="center"/>
          </w:tcPr>
          <w:p w14:paraId="224DA125">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4</w:t>
            </w:r>
          </w:p>
          <w:p w14:paraId="643A0B6A">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/2021-31/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/2022</w:t>
            </w:r>
          </w:p>
        </w:tc>
        <w:tc>
          <w:tcPr>
            <w:tcW w:w="1683" w:type="dxa"/>
            <w:shd w:val="clear" w:color="auto" w:fill="auto"/>
            <w:noWrap/>
            <w:vAlign w:val="center"/>
          </w:tcPr>
          <w:p w14:paraId="56818FB9">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5</w:t>
            </w:r>
          </w:p>
          <w:p w14:paraId="7AD8DE1A">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/2022-31/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/2023</w:t>
            </w:r>
          </w:p>
        </w:tc>
      </w:tr>
      <w:tr w14:paraId="2656E601">
        <w:trPr>
          <w:trHeight w:val="320" w:hRule="atLeast"/>
        </w:trPr>
        <w:tc>
          <w:tcPr>
            <w:tcW w:w="1104" w:type="dxa"/>
            <w:shd w:val="clear" w:color="auto" w:fill="auto"/>
            <w:noWrap/>
            <w:vAlign w:val="center"/>
          </w:tcPr>
          <w:p w14:paraId="6991C4CE">
            <w:pPr>
              <w:spacing w:after="0"/>
              <w:jc w:val="center"/>
              <w:rPr>
                <w:rFonts w:hint="default" w:eastAsia="Arial"/>
                <w:b/>
                <w:bCs/>
                <w:highlight w:val="none"/>
                <w:vertAlign w:val="baseline"/>
                <w:lang w:val="es-ES"/>
              </w:rPr>
            </w:pPr>
            <w:r>
              <w:rPr>
                <w:rFonts w:eastAsia="Arial"/>
                <w:b/>
                <w:bCs/>
                <w:highlight w:val="none"/>
                <w:lang w:val="es-ES"/>
              </w:rPr>
              <w:t>PE</w:t>
            </w:r>
            <w:r>
              <w:rPr>
                <w:rFonts w:eastAsia="Arial"/>
                <w:b/>
                <w:bCs/>
                <w:highlight w:val="none"/>
                <w:vertAlign w:val="subscript"/>
                <w:lang w:val="es-ES"/>
              </w:rPr>
              <w:t>EC,y</w:t>
            </w:r>
            <w:r>
              <w:rPr>
                <w:rFonts w:hint="default" w:eastAsia="Arial"/>
                <w:b/>
                <w:bCs/>
                <w:highlight w:val="none"/>
                <w:vertAlign w:val="subscript"/>
                <w:lang w:val="es-ES"/>
              </w:rPr>
              <w:t xml:space="preserve">      </w:t>
            </w:r>
            <w:r>
              <w:rPr>
                <w:rFonts w:hint="default" w:eastAsia="Arial"/>
                <w:b/>
                <w:bCs/>
                <w:highlight w:val="none"/>
                <w:vertAlign w:val="baseline"/>
                <w:lang w:val="es-ES"/>
              </w:rPr>
              <w:t>(t CO</w:t>
            </w:r>
            <w:r>
              <w:rPr>
                <w:rFonts w:hint="default" w:eastAsia="Arial"/>
                <w:b/>
                <w:bCs/>
                <w:highlight w:val="none"/>
                <w:vertAlign w:val="subscript"/>
                <w:lang w:val="es-ES"/>
              </w:rPr>
              <w:t>2</w:t>
            </w:r>
            <w:r>
              <w:rPr>
                <w:rFonts w:hint="default" w:eastAsia="Arial"/>
                <w:b/>
                <w:bCs/>
                <w:highlight w:val="none"/>
                <w:vertAlign w:val="baseline"/>
                <w:lang w:val="es-ES"/>
              </w:rPr>
              <w:t>e)</w:t>
            </w:r>
          </w:p>
        </w:tc>
        <w:tc>
          <w:tcPr>
            <w:tcW w:w="1665" w:type="dxa"/>
            <w:shd w:val="clear" w:color="auto" w:fill="auto"/>
            <w:noWrap/>
            <w:vAlign w:val="center"/>
          </w:tcPr>
          <w:p w14:paraId="313BA9FA">
            <w:pPr>
              <w:spacing w:after="0"/>
              <w:jc w:val="center"/>
              <w:rPr>
                <w:rFonts w:hint="default" w:eastAsia="Arial"/>
                <w:highlight w:val="none"/>
                <w:lang w:val="es-ES"/>
              </w:rPr>
            </w:pPr>
            <w:r>
              <w:rPr>
                <w:rFonts w:hint="default" w:eastAsia="Arial"/>
                <w:highlight w:val="none"/>
                <w:lang w:val="es-ES"/>
              </w:rPr>
              <w:t>5</w:t>
            </w:r>
          </w:p>
        </w:tc>
        <w:tc>
          <w:tcPr>
            <w:tcW w:w="1644" w:type="dxa"/>
            <w:shd w:val="clear" w:color="auto" w:fill="auto"/>
            <w:noWrap/>
            <w:vAlign w:val="center"/>
          </w:tcPr>
          <w:p w14:paraId="21A3165C">
            <w:pPr>
              <w:spacing w:after="0"/>
              <w:jc w:val="center"/>
              <w:rPr>
                <w:rFonts w:hint="default" w:eastAsia="Arial"/>
                <w:highlight w:val="none"/>
                <w:lang w:val="es-ES"/>
              </w:rPr>
            </w:pPr>
            <w:r>
              <w:rPr>
                <w:rFonts w:hint="default" w:eastAsia="Arial"/>
                <w:highlight w:val="none"/>
                <w:lang w:val="es-ES"/>
              </w:rPr>
              <w:t>6</w:t>
            </w:r>
          </w:p>
        </w:tc>
        <w:tc>
          <w:tcPr>
            <w:tcW w:w="1743" w:type="dxa"/>
            <w:shd w:val="clear" w:color="auto" w:fill="auto"/>
            <w:noWrap/>
            <w:vAlign w:val="center"/>
          </w:tcPr>
          <w:p w14:paraId="3AD8BDCB">
            <w:pPr>
              <w:spacing w:after="0"/>
              <w:jc w:val="center"/>
              <w:rPr>
                <w:rFonts w:hint="default" w:eastAsia="Arial"/>
                <w:highlight w:val="none"/>
                <w:lang w:val="es-ES"/>
              </w:rPr>
            </w:pPr>
            <w:r>
              <w:rPr>
                <w:rFonts w:hint="default" w:eastAsia="Arial"/>
                <w:highlight w:val="none"/>
                <w:lang w:val="es-ES"/>
              </w:rPr>
              <w:t>6</w:t>
            </w:r>
          </w:p>
        </w:tc>
        <w:tc>
          <w:tcPr>
            <w:tcW w:w="1663" w:type="dxa"/>
            <w:shd w:val="clear" w:color="auto" w:fill="auto"/>
            <w:noWrap/>
            <w:vAlign w:val="center"/>
          </w:tcPr>
          <w:p w14:paraId="0ADBB10C">
            <w:pPr>
              <w:spacing w:after="0"/>
              <w:jc w:val="center"/>
              <w:rPr>
                <w:rFonts w:eastAsia="Arial"/>
                <w:highlight w:val="none"/>
                <w:lang w:val="es-ES"/>
              </w:rPr>
            </w:pPr>
            <w:r>
              <w:rPr>
                <w:rFonts w:eastAsia="Arial"/>
                <w:highlight w:val="none"/>
                <w:lang w:val="es-ES"/>
              </w:rPr>
              <w:t>7</w:t>
            </w:r>
          </w:p>
        </w:tc>
        <w:tc>
          <w:tcPr>
            <w:tcW w:w="1683" w:type="dxa"/>
            <w:shd w:val="clear" w:color="auto" w:fill="auto"/>
            <w:noWrap/>
            <w:vAlign w:val="center"/>
          </w:tcPr>
          <w:p w14:paraId="181568A4">
            <w:pPr>
              <w:spacing w:after="0"/>
              <w:jc w:val="center"/>
              <w:rPr>
                <w:rFonts w:hint="default" w:eastAsia="Arial"/>
                <w:highlight w:val="none"/>
                <w:lang w:val="es-ES"/>
              </w:rPr>
            </w:pPr>
            <w:r>
              <w:rPr>
                <w:rFonts w:hint="default" w:eastAsia="Arial"/>
                <w:highlight w:val="none"/>
                <w:lang w:val="es-ES"/>
              </w:rPr>
              <w:t>5</w:t>
            </w:r>
          </w:p>
        </w:tc>
      </w:tr>
    </w:tbl>
    <w:p w14:paraId="02A62DED">
      <w:pPr>
        <w:spacing w:after="0"/>
        <w:rPr>
          <w:rFonts w:eastAsia="Arial"/>
          <w:highlight w:val="none"/>
          <w:u w:val="single"/>
          <w:lang w:val="en-US"/>
        </w:rPr>
      </w:pPr>
    </w:p>
    <w:p w14:paraId="59ADF548">
      <w:pPr>
        <w:spacing w:after="0"/>
        <w:rPr>
          <w:rFonts w:eastAsia="Arial"/>
          <w:highlight w:val="none"/>
          <w:u w:val="single"/>
          <w:lang w:val="en-US"/>
        </w:rPr>
      </w:pPr>
      <w:r>
        <w:rPr>
          <w:rFonts w:eastAsia="Arial"/>
          <w:highlight w:val="none"/>
          <w:u w:val="single"/>
          <w:lang w:val="en-US"/>
        </w:rPr>
        <w:t>Determination of project emissions from fossil fuel consumption (PE</w:t>
      </w:r>
      <w:r>
        <w:rPr>
          <w:rFonts w:eastAsia="Arial"/>
          <w:highlight w:val="none"/>
          <w:u w:val="single"/>
          <w:vertAlign w:val="subscript"/>
          <w:lang w:val="en-US"/>
        </w:rPr>
        <w:t>FC,y</w:t>
      </w:r>
      <w:r>
        <w:rPr>
          <w:rFonts w:eastAsia="Arial"/>
          <w:highlight w:val="none"/>
          <w:u w:val="single"/>
          <w:lang w:val="en-US"/>
        </w:rPr>
        <w:t>)</w:t>
      </w:r>
    </w:p>
    <w:p w14:paraId="0507EA92">
      <w:pPr>
        <w:spacing w:after="0"/>
        <w:rPr>
          <w:rFonts w:eastAsia="Arial"/>
          <w:iCs/>
          <w:highlight w:val="none"/>
          <w:u w:val="single"/>
          <w:lang w:val="en-US"/>
        </w:rPr>
      </w:pPr>
      <w:r>
        <w:rPr>
          <w:rFonts w:eastAsia="Arial"/>
          <w:iCs/>
          <w:highlight w:val="none"/>
          <w:lang w:val="en-US"/>
        </w:rPr>
        <w:t>Project emissions from fossil fuel consumption (PE</w:t>
      </w:r>
      <w:r>
        <w:rPr>
          <w:rFonts w:eastAsia="Arial"/>
          <w:iCs/>
          <w:highlight w:val="none"/>
          <w:vertAlign w:val="subscript"/>
          <w:lang w:val="en-US"/>
        </w:rPr>
        <w:t>FC,y</w:t>
      </w:r>
      <w:r>
        <w:rPr>
          <w:rFonts w:eastAsia="Arial"/>
          <w:iCs/>
          <w:highlight w:val="none"/>
          <w:lang w:val="en-US"/>
        </w:rPr>
        <w:t>), since the only fuel in the project activity is diesel, is calculated as below:</w:t>
      </w:r>
    </w:p>
    <w:p w14:paraId="3EAE60E4">
      <w:pPr>
        <w:spacing w:before="0" w:after="0"/>
        <w:ind w:firstLine="708"/>
        <w:rPr>
          <w:rFonts w:eastAsia="Times New Roman"/>
          <w:highlight w:val="none"/>
          <w:vertAlign w:val="subscript"/>
          <w:lang w:val="en-US"/>
        </w:rPr>
      </w:pP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𝐹𝐶</w:t>
      </w:r>
      <w:r>
        <w:rPr>
          <w:rFonts w:eastAsia="Arial"/>
          <w:highlight w:val="none"/>
          <w:vertAlign w:val="subscript"/>
          <w:lang w:val="en-US"/>
        </w:rPr>
        <w:t>,</w:t>
      </w:r>
      <w:r>
        <w:rPr>
          <w:rFonts w:ascii="Cambria Math" w:hAnsi="Cambria Math" w:eastAsia="Times New Roman" w:cs="Cambria Math"/>
          <w:highlight w:val="none"/>
          <w:vertAlign w:val="subscript"/>
          <w:lang w:val="en-US"/>
        </w:rPr>
        <w:t>𝑗</w:t>
      </w:r>
      <w:r>
        <w:rPr>
          <w:rFonts w:eastAsia="Arial"/>
          <w:highlight w:val="none"/>
          <w:vertAlign w:val="subscript"/>
          <w:lang w:val="en-US"/>
        </w:rPr>
        <w:t>,</w:t>
      </w:r>
      <w:r>
        <w:rPr>
          <w:rFonts w:ascii="Cambria Math" w:hAnsi="Cambria Math" w:eastAsia="Times New Roman" w:cs="Cambria Math"/>
          <w:highlight w:val="none"/>
          <w:vertAlign w:val="subscript"/>
          <w:lang w:val="en-US"/>
        </w:rPr>
        <w:t>𝑦</w:t>
      </w:r>
      <w:r>
        <w:rPr>
          <w:rFonts w:eastAsia="Arial"/>
          <w:highlight w:val="none"/>
          <w:vertAlign w:val="subscript"/>
          <w:lang w:val="en-US"/>
        </w:rPr>
        <w:t xml:space="preserve"> </w:t>
      </w:r>
      <w:r>
        <w:rPr>
          <w:highlight w:val="none"/>
          <w:lang w:val="en-US"/>
        </w:rPr>
        <w:t xml:space="preserve">= </w:t>
      </w:r>
      <w:r>
        <w:rPr>
          <w:rFonts w:ascii="Cambria Math" w:hAnsi="Cambria Math" w:eastAsia="Times New Roman" w:cs="Cambria Math"/>
          <w:highlight w:val="none"/>
          <w:lang w:val="en-US"/>
        </w:rPr>
        <w:t>FC</w:t>
      </w:r>
      <w:r>
        <w:rPr>
          <w:rFonts w:ascii="Cambria Math" w:hAnsi="Cambria Math" w:eastAsia="Times New Roman" w:cs="Cambria Math"/>
          <w:highlight w:val="none"/>
          <w:vertAlign w:val="subscript"/>
          <w:lang w:val="en-US"/>
        </w:rPr>
        <w:t>𝑦</w:t>
      </w:r>
      <w:r>
        <w:rPr>
          <w:rFonts w:eastAsia="Arial"/>
          <w:highlight w:val="none"/>
          <w:lang w:val="en-US"/>
        </w:rPr>
        <w:t xml:space="preserve"> × </w:t>
      </w:r>
      <w:r>
        <w:rPr>
          <w:rFonts w:ascii="Cambria Math" w:hAnsi="Cambria Math" w:eastAsia="Times New Roman" w:cs="Cambria Math"/>
          <w:highlight w:val="none"/>
          <w:lang w:val="en-US"/>
        </w:rPr>
        <w:t>𝐸𝐹</w:t>
      </w:r>
      <w:r>
        <w:rPr>
          <w:rFonts w:ascii="Cambria Math" w:hAnsi="Cambria Math" w:eastAsia="Times New Roman" w:cs="Cambria Math"/>
          <w:highlight w:val="none"/>
          <w:vertAlign w:val="subscript"/>
          <w:lang w:val="en-US"/>
        </w:rPr>
        <w:t>FC</w:t>
      </w:r>
      <w:r>
        <w:rPr>
          <w:rFonts w:eastAsia="Arial"/>
          <w:highlight w:val="none"/>
          <w:vertAlign w:val="subscript"/>
          <w:lang w:val="en-US"/>
        </w:rPr>
        <w:t>,</w:t>
      </w:r>
      <w:r>
        <w:rPr>
          <w:rFonts w:ascii="Cambria Math" w:hAnsi="Cambria Math" w:eastAsia="Times New Roman" w:cs="Cambria Math"/>
          <w:highlight w:val="none"/>
          <w:vertAlign w:val="subscript"/>
          <w:lang w:val="en-US"/>
        </w:rPr>
        <w:t>default</w:t>
      </w:r>
    </w:p>
    <w:p w14:paraId="337B6594">
      <w:pPr>
        <w:spacing w:after="0"/>
        <w:rPr>
          <w:rFonts w:eastAsia="Arial"/>
          <w:highlight w:val="none"/>
          <w:lang w:val="en-US"/>
        </w:rPr>
      </w:pPr>
      <w:r>
        <w:rPr>
          <w:rFonts w:eastAsia="Arial"/>
          <w:highlight w:val="none"/>
          <w:lang w:val="en-US"/>
        </w:rPr>
        <w:t>Where:</w:t>
      </w:r>
    </w:p>
    <w:tbl>
      <w:tblPr>
        <w:tblStyle w:val="12"/>
        <w:tblW w:w="8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4"/>
        <w:gridCol w:w="426"/>
        <w:gridCol w:w="6804"/>
      </w:tblGrid>
      <w:tr w14:paraId="5C2E17EE">
        <w:trPr>
          <w:trHeight w:val="23" w:hRule="atLeast"/>
        </w:trPr>
        <w:tc>
          <w:tcPr>
            <w:tcW w:w="1134" w:type="dxa"/>
            <w:tcBorders>
              <w:top w:val="nil"/>
              <w:left w:val="nil"/>
              <w:bottom w:val="nil"/>
              <w:right w:val="nil"/>
            </w:tcBorders>
            <w:tcMar>
              <w:top w:w="80" w:type="dxa"/>
              <w:left w:w="100" w:type="dxa"/>
              <w:bottom w:w="20" w:type="dxa"/>
              <w:right w:w="100" w:type="dxa"/>
            </w:tcMar>
          </w:tcPr>
          <w:p w14:paraId="4D1C740E">
            <w:pPr>
              <w:spacing w:before="0" w:after="0"/>
              <w:jc w:val="right"/>
              <w:rPr>
                <w:rFonts w:eastAsia="Times New Roman"/>
                <w:highlight w:val="none"/>
                <w:vertAlign w:val="subscript"/>
                <w:lang w:val="en-US"/>
              </w:rPr>
            </w:pP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𝐹𝐶</w:t>
            </w:r>
            <w:r>
              <w:rPr>
                <w:rFonts w:eastAsia="Arial"/>
                <w:highlight w:val="none"/>
                <w:vertAlign w:val="subscript"/>
                <w:lang w:val="en-US"/>
              </w:rPr>
              <w:t>,</w:t>
            </w:r>
            <w:r>
              <w:rPr>
                <w:rFonts w:ascii="Cambria Math" w:hAnsi="Cambria Math" w:eastAsia="Times New Roman" w:cs="Cambria Math"/>
                <w:highlight w:val="none"/>
                <w:vertAlign w:val="subscript"/>
                <w:lang w:val="en-US"/>
              </w:rPr>
              <w:t>𝑗</w:t>
            </w:r>
            <w:r>
              <w:rPr>
                <w:rFonts w:eastAsia="Arial"/>
                <w:highlight w:val="none"/>
                <w:vertAlign w:val="subscript"/>
                <w:lang w:val="en-US"/>
              </w:rPr>
              <w:t>,</w:t>
            </w:r>
            <w:r>
              <w:rPr>
                <w:rFonts w:ascii="Cambria Math" w:hAnsi="Cambria Math" w:eastAsia="Times New Roman" w:cs="Cambria Math"/>
                <w:highlight w:val="none"/>
                <w:vertAlign w:val="subscript"/>
                <w:lang w:val="en-US"/>
              </w:rPr>
              <w:t>𝑦</w:t>
            </w:r>
          </w:p>
        </w:tc>
        <w:tc>
          <w:tcPr>
            <w:tcW w:w="426" w:type="dxa"/>
            <w:tcBorders>
              <w:top w:val="nil"/>
              <w:left w:val="nil"/>
              <w:bottom w:val="nil"/>
              <w:right w:val="nil"/>
            </w:tcBorders>
            <w:tcMar>
              <w:top w:w="80" w:type="dxa"/>
              <w:left w:w="100" w:type="dxa"/>
              <w:bottom w:w="20" w:type="dxa"/>
              <w:right w:w="100" w:type="dxa"/>
            </w:tcMar>
          </w:tcPr>
          <w:p w14:paraId="3E5E0AD5">
            <w:pPr>
              <w:spacing w:before="0" w:after="0"/>
              <w:rPr>
                <w:highlight w:val="none"/>
                <w:lang w:val="en-US"/>
              </w:rPr>
            </w:pPr>
            <w:r>
              <w:rPr>
                <w:highlight w:val="none"/>
                <w:lang w:val="en-US"/>
              </w:rPr>
              <w:t>=</w:t>
            </w:r>
          </w:p>
        </w:tc>
        <w:tc>
          <w:tcPr>
            <w:tcW w:w="6804" w:type="dxa"/>
            <w:tcBorders>
              <w:top w:val="nil"/>
              <w:left w:val="nil"/>
              <w:bottom w:val="nil"/>
              <w:right w:val="nil"/>
            </w:tcBorders>
            <w:tcMar>
              <w:top w:w="80" w:type="dxa"/>
              <w:left w:w="100" w:type="dxa"/>
              <w:bottom w:w="20" w:type="dxa"/>
              <w:right w:w="100" w:type="dxa"/>
            </w:tcMar>
          </w:tcPr>
          <w:p w14:paraId="7F0C9653">
            <w:pPr>
              <w:spacing w:before="0" w:after="0"/>
              <w:rPr>
                <w:rFonts w:eastAsia="Arial"/>
                <w:highlight w:val="none"/>
                <w:lang w:val="en-US"/>
              </w:rPr>
            </w:pPr>
            <w:r>
              <w:rPr>
                <w:highlight w:val="none"/>
                <w:lang w:val="en-US"/>
              </w:rPr>
              <w:t>CO</w:t>
            </w:r>
            <w:r>
              <w:rPr>
                <w:rFonts w:eastAsia="Arial"/>
                <w:highlight w:val="none"/>
                <w:vertAlign w:val="subscript"/>
                <w:lang w:val="en-US"/>
              </w:rPr>
              <w:t>2</w:t>
            </w:r>
            <w:r>
              <w:rPr>
                <w:rFonts w:eastAsia="Arial"/>
                <w:highlight w:val="none"/>
                <w:lang w:val="en-US"/>
              </w:rPr>
              <w:t xml:space="preserve"> emissions from fossil fuel combustion in process j during the year y (tCO</w:t>
            </w:r>
            <w:r>
              <w:rPr>
                <w:rFonts w:eastAsia="Arial"/>
                <w:highlight w:val="none"/>
                <w:vertAlign w:val="subscript"/>
                <w:lang w:val="en-US"/>
              </w:rPr>
              <w:t>2</w:t>
            </w:r>
            <w:r>
              <w:rPr>
                <w:rFonts w:eastAsia="Arial"/>
                <w:highlight w:val="none"/>
                <w:lang w:val="en-US"/>
              </w:rPr>
              <w:t>/yr)</w:t>
            </w:r>
          </w:p>
        </w:tc>
      </w:tr>
      <w:tr w14:paraId="56BDB1FE">
        <w:trPr>
          <w:trHeight w:val="63" w:hRule="atLeast"/>
        </w:trPr>
        <w:tc>
          <w:tcPr>
            <w:tcW w:w="1134" w:type="dxa"/>
            <w:tcBorders>
              <w:top w:val="nil"/>
              <w:left w:val="nil"/>
              <w:bottom w:val="nil"/>
              <w:right w:val="nil"/>
            </w:tcBorders>
            <w:tcMar>
              <w:top w:w="80" w:type="dxa"/>
              <w:left w:w="100" w:type="dxa"/>
              <w:bottom w:w="20" w:type="dxa"/>
              <w:right w:w="100" w:type="dxa"/>
            </w:tcMar>
          </w:tcPr>
          <w:p w14:paraId="6741F37E">
            <w:pPr>
              <w:spacing w:before="0" w:after="0"/>
              <w:jc w:val="right"/>
              <w:rPr>
                <w:rFonts w:eastAsia="Times New Roman"/>
                <w:highlight w:val="none"/>
                <w:vertAlign w:val="subscript"/>
                <w:lang w:val="en-US"/>
              </w:rPr>
            </w:pPr>
            <w:r>
              <w:rPr>
                <w:rFonts w:ascii="Cambria Math" w:hAnsi="Cambria Math" w:eastAsia="Times New Roman" w:cs="Cambria Math"/>
                <w:highlight w:val="none"/>
                <w:lang w:val="en-US"/>
              </w:rPr>
              <w:t>𝐹𝐶</w:t>
            </w:r>
            <w:r>
              <w:rPr>
                <w:rFonts w:ascii="Cambria Math" w:hAnsi="Cambria Math" w:eastAsia="Times New Roman" w:cs="Cambria Math"/>
                <w:highlight w:val="none"/>
                <w:vertAlign w:val="subscript"/>
                <w:lang w:val="en-US"/>
              </w:rPr>
              <w:t xml:space="preserve"> 𝑦</w:t>
            </w:r>
          </w:p>
        </w:tc>
        <w:tc>
          <w:tcPr>
            <w:tcW w:w="426" w:type="dxa"/>
            <w:tcBorders>
              <w:top w:val="nil"/>
              <w:left w:val="nil"/>
              <w:bottom w:val="nil"/>
              <w:right w:val="nil"/>
            </w:tcBorders>
            <w:tcMar>
              <w:top w:w="80" w:type="dxa"/>
              <w:left w:w="100" w:type="dxa"/>
              <w:bottom w:w="20" w:type="dxa"/>
              <w:right w:w="100" w:type="dxa"/>
            </w:tcMar>
          </w:tcPr>
          <w:p w14:paraId="0D36461F">
            <w:pPr>
              <w:spacing w:before="0" w:after="0"/>
              <w:rPr>
                <w:highlight w:val="none"/>
                <w:lang w:val="en-US"/>
              </w:rPr>
            </w:pPr>
            <w:r>
              <w:rPr>
                <w:highlight w:val="none"/>
                <w:lang w:val="en-US"/>
              </w:rPr>
              <w:t>=</w:t>
            </w:r>
          </w:p>
        </w:tc>
        <w:tc>
          <w:tcPr>
            <w:tcW w:w="6804" w:type="dxa"/>
            <w:tcBorders>
              <w:top w:val="nil"/>
              <w:left w:val="nil"/>
              <w:bottom w:val="nil"/>
              <w:right w:val="nil"/>
            </w:tcBorders>
            <w:tcMar>
              <w:top w:w="80" w:type="dxa"/>
              <w:left w:w="100" w:type="dxa"/>
              <w:bottom w:w="20" w:type="dxa"/>
              <w:right w:w="100" w:type="dxa"/>
            </w:tcMar>
          </w:tcPr>
          <w:p w14:paraId="5E2E8B6F">
            <w:pPr>
              <w:spacing w:before="0" w:after="0"/>
              <w:rPr>
                <w:highlight w:val="none"/>
                <w:lang w:val="en-US"/>
              </w:rPr>
            </w:pPr>
            <w:r>
              <w:rPr>
                <w:highlight w:val="none"/>
                <w:lang w:val="en-US"/>
              </w:rPr>
              <w:t>Quantity of diesel combusted in process j during the year y (L/yr)</w:t>
            </w:r>
          </w:p>
        </w:tc>
      </w:tr>
      <w:tr w14:paraId="4278BFC1">
        <w:trPr>
          <w:trHeight w:val="38" w:hRule="atLeast"/>
        </w:trPr>
        <w:tc>
          <w:tcPr>
            <w:tcW w:w="1134" w:type="dxa"/>
            <w:tcBorders>
              <w:top w:val="nil"/>
              <w:left w:val="nil"/>
              <w:bottom w:val="nil"/>
              <w:right w:val="nil"/>
            </w:tcBorders>
            <w:tcMar>
              <w:top w:w="80" w:type="dxa"/>
              <w:left w:w="100" w:type="dxa"/>
              <w:bottom w:w="20" w:type="dxa"/>
              <w:right w:w="100" w:type="dxa"/>
            </w:tcMar>
          </w:tcPr>
          <w:p w14:paraId="41B45276">
            <w:pPr>
              <w:spacing w:before="0" w:after="0"/>
              <w:jc w:val="right"/>
              <w:rPr>
                <w:rFonts w:eastAsia="Arial"/>
                <w:highlight w:val="none"/>
                <w:vertAlign w:val="subscript"/>
                <w:lang w:val="en-US"/>
              </w:rPr>
            </w:pPr>
            <w:r>
              <w:rPr>
                <w:rFonts w:ascii="Cambria Math" w:hAnsi="Cambria Math" w:eastAsia="Times New Roman" w:cs="Cambria Math"/>
                <w:highlight w:val="none"/>
                <w:lang w:val="en-US"/>
              </w:rPr>
              <w:t>𝐸𝐹</w:t>
            </w:r>
            <w:r>
              <w:rPr>
                <w:rFonts w:ascii="Cambria Math" w:hAnsi="Cambria Math" w:eastAsia="Times New Roman" w:cs="Cambria Math"/>
                <w:highlight w:val="none"/>
                <w:vertAlign w:val="subscript"/>
                <w:lang w:val="en-US"/>
              </w:rPr>
              <w:t>FC</w:t>
            </w:r>
            <w:r>
              <w:rPr>
                <w:rFonts w:eastAsia="Arial"/>
                <w:highlight w:val="none"/>
                <w:vertAlign w:val="subscript"/>
                <w:lang w:val="en-US"/>
              </w:rPr>
              <w:t>,</w:t>
            </w:r>
            <w:r>
              <w:rPr>
                <w:rFonts w:ascii="Cambria Math" w:hAnsi="Cambria Math" w:eastAsia="Times New Roman" w:cs="Cambria Math"/>
                <w:highlight w:val="none"/>
                <w:vertAlign w:val="subscript"/>
                <w:lang w:val="en-US"/>
              </w:rPr>
              <w:t>default</w:t>
            </w:r>
          </w:p>
        </w:tc>
        <w:tc>
          <w:tcPr>
            <w:tcW w:w="426" w:type="dxa"/>
            <w:tcBorders>
              <w:top w:val="nil"/>
              <w:left w:val="nil"/>
              <w:bottom w:val="nil"/>
              <w:right w:val="nil"/>
            </w:tcBorders>
            <w:tcMar>
              <w:top w:w="80" w:type="dxa"/>
              <w:left w:w="100" w:type="dxa"/>
              <w:bottom w:w="20" w:type="dxa"/>
              <w:right w:w="100" w:type="dxa"/>
            </w:tcMar>
          </w:tcPr>
          <w:p w14:paraId="12CA3C76">
            <w:pPr>
              <w:spacing w:before="0" w:after="0"/>
              <w:rPr>
                <w:highlight w:val="none"/>
                <w:lang w:val="en-US"/>
              </w:rPr>
            </w:pPr>
            <w:r>
              <w:rPr>
                <w:highlight w:val="none"/>
                <w:lang w:val="en-US"/>
              </w:rPr>
              <w:t>=</w:t>
            </w:r>
          </w:p>
        </w:tc>
        <w:tc>
          <w:tcPr>
            <w:tcW w:w="6804" w:type="dxa"/>
            <w:tcBorders>
              <w:top w:val="nil"/>
              <w:left w:val="nil"/>
              <w:bottom w:val="nil"/>
              <w:right w:val="nil"/>
            </w:tcBorders>
            <w:tcMar>
              <w:top w:w="80" w:type="dxa"/>
              <w:left w:w="100" w:type="dxa"/>
              <w:bottom w:w="20" w:type="dxa"/>
              <w:right w:w="100" w:type="dxa"/>
            </w:tcMar>
          </w:tcPr>
          <w:p w14:paraId="6731ECF4">
            <w:pPr>
              <w:spacing w:before="0" w:after="0"/>
              <w:rPr>
                <w:rFonts w:eastAsia="Arial"/>
                <w:highlight w:val="none"/>
                <w:lang w:val="en-US"/>
              </w:rPr>
            </w:pPr>
            <w:r>
              <w:rPr>
                <w:rFonts w:eastAsia="Arial"/>
                <w:highlight w:val="none"/>
                <w:lang w:val="en-US"/>
              </w:rPr>
              <w:t>Emission factor of diesel in year y (tCO</w:t>
            </w:r>
            <w:r>
              <w:rPr>
                <w:rFonts w:eastAsia="Arial"/>
                <w:highlight w:val="none"/>
                <w:vertAlign w:val="subscript"/>
                <w:lang w:val="en-US"/>
              </w:rPr>
              <w:t>2</w:t>
            </w:r>
            <w:r>
              <w:rPr>
                <w:rFonts w:eastAsia="Arial"/>
                <w:highlight w:val="none"/>
                <w:lang w:val="en-US"/>
              </w:rPr>
              <w:t>/L)</w:t>
            </w:r>
          </w:p>
        </w:tc>
      </w:tr>
    </w:tbl>
    <w:p w14:paraId="2A919624">
      <w:pPr>
        <w:rPr>
          <w:rFonts w:eastAsia="Arial"/>
          <w:highlight w:val="none"/>
          <w:lang w:val="en-US"/>
        </w:rPr>
      </w:pPr>
      <w:r>
        <w:rPr>
          <w:rFonts w:eastAsia="Arial"/>
          <w:highlight w:val="none"/>
          <w:lang w:val="en-US"/>
        </w:rPr>
        <w:t>The value of the emission factor of diesel for every year is based on the information from the Argentine Government:</w:t>
      </w:r>
      <w:r>
        <w:rPr>
          <w:rFonts w:hint="default" w:eastAsia="Arial"/>
          <w:highlight w:val="none"/>
          <w:lang w:val="es-ES"/>
        </w:rPr>
        <w:t xml:space="preserve"> </w:t>
      </w:r>
      <w:r>
        <w:rPr>
          <w:rFonts w:eastAsia="Arial"/>
          <w:highlight w:val="none"/>
          <w:lang w:val="en-US"/>
        </w:rPr>
        <w:fldChar w:fldCharType="begin"/>
      </w:r>
      <w:r>
        <w:rPr>
          <w:rFonts w:eastAsia="Arial"/>
          <w:highlight w:val="none"/>
          <w:lang w:val="en-US"/>
        </w:rPr>
        <w:instrText xml:space="preserve"> HYPERLINK "https://www.energia.gob.ar/contenidos/archivos/Reorganizacion/informacion_del_mercado/mercado_hidrocarburos/mapas/metodologia_huella_CO2_eess.pdf" </w:instrText>
      </w:r>
      <w:r>
        <w:rPr>
          <w:rFonts w:eastAsia="Arial"/>
          <w:highlight w:val="none"/>
          <w:lang w:val="en-US"/>
        </w:rPr>
        <w:fldChar w:fldCharType="separate"/>
      </w:r>
      <w:r>
        <w:rPr>
          <w:rStyle w:val="20"/>
          <w:rFonts w:eastAsia="Arial"/>
          <w:highlight w:val="none"/>
          <w:lang w:val="en-US"/>
        </w:rPr>
        <w:t>https://www.energia.gob.ar/contenidos/archivos/Reorganizacion/informacion_del_mercado/mercado_hidrocarburos/mapas/metodologia_huella_CO2_eess.pdf</w:t>
      </w:r>
      <w:r>
        <w:rPr>
          <w:rFonts w:eastAsia="Arial"/>
          <w:highlight w:val="none"/>
          <w:lang w:val="en-US"/>
        </w:rPr>
        <w:fldChar w:fldCharType="end"/>
      </w:r>
    </w:p>
    <w:p w14:paraId="2660E270">
      <w:pPr>
        <w:rPr>
          <w:rFonts w:eastAsia="Arial"/>
          <w:highlight w:val="none"/>
          <w:lang w:val="en-US"/>
        </w:rPr>
      </w:pPr>
      <w:r>
        <w:rPr>
          <w:rFonts w:eastAsia="Arial"/>
          <w:highlight w:val="none"/>
          <w:lang w:val="en-US"/>
        </w:rPr>
        <w:t>The results of this equation are collected in the following table:</w:t>
      </w:r>
    </w:p>
    <w:tbl>
      <w:tblPr>
        <w:tblStyle w:val="24"/>
        <w:tblW w:w="9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739"/>
        <w:gridCol w:w="1688"/>
        <w:gridCol w:w="1842"/>
        <w:gridCol w:w="1723"/>
        <w:gridCol w:w="1703"/>
      </w:tblGrid>
      <w:tr w14:paraId="7A061A46">
        <w:trPr>
          <w:trHeight w:val="1074" w:hRule="atLeast"/>
          <w:jc w:val="center"/>
        </w:trPr>
        <w:tc>
          <w:tcPr>
            <w:tcW w:w="1237" w:type="dxa"/>
            <w:noWrap/>
            <w:vAlign w:val="center"/>
          </w:tcPr>
          <w:p w14:paraId="1F78522B">
            <w:pPr>
              <w:spacing w:before="0" w:after="0"/>
              <w:jc w:val="center"/>
              <w:rPr>
                <w:rFonts w:eastAsia="Arial"/>
                <w:b/>
                <w:bCs/>
                <w:highlight w:val="none"/>
                <w:lang w:val="en-US"/>
              </w:rPr>
            </w:pPr>
            <w:r>
              <w:rPr>
                <w:rFonts w:hint="default"/>
                <w:color w:val="000000" w:themeColor="text1"/>
                <w:highlight w:val="none"/>
                <w:lang w:val="es-ES"/>
                <w14:textFill>
                  <w14:solidFill>
                    <w14:schemeClr w14:val="tx1"/>
                  </w14:solidFill>
                </w14:textFill>
              </w:rPr>
              <w:t>YEAR</w:t>
            </w:r>
          </w:p>
        </w:tc>
        <w:tc>
          <w:tcPr>
            <w:tcW w:w="1739" w:type="dxa"/>
            <w:noWrap/>
            <w:vAlign w:val="center"/>
          </w:tcPr>
          <w:p w14:paraId="42AF933B">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1</w:t>
            </w:r>
          </w:p>
          <w:p w14:paraId="27C364A7">
            <w:pPr>
              <w:spacing w:before="0" w:after="0"/>
              <w:jc w:val="center"/>
              <w:rPr>
                <w:rFonts w:eastAsia="Arial"/>
                <w:b/>
                <w:b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/2018-31/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/2019</w:t>
            </w:r>
          </w:p>
        </w:tc>
        <w:tc>
          <w:tcPr>
            <w:tcW w:w="1688" w:type="dxa"/>
            <w:noWrap/>
            <w:vAlign w:val="center"/>
          </w:tcPr>
          <w:p w14:paraId="0A06411E">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2</w:t>
            </w:r>
          </w:p>
          <w:p w14:paraId="381D64EF">
            <w:pPr>
              <w:spacing w:before="0" w:after="0"/>
              <w:jc w:val="center"/>
              <w:rPr>
                <w:rFonts w:eastAsia="Arial"/>
                <w:b/>
                <w:b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/2019-31/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/2020</w:t>
            </w:r>
          </w:p>
        </w:tc>
        <w:tc>
          <w:tcPr>
            <w:tcW w:w="1842" w:type="dxa"/>
            <w:noWrap/>
            <w:vAlign w:val="center"/>
          </w:tcPr>
          <w:p w14:paraId="742D0FEF">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3</w:t>
            </w:r>
          </w:p>
          <w:p w14:paraId="46805056">
            <w:pPr>
              <w:spacing w:before="0" w:after="0"/>
              <w:jc w:val="center"/>
              <w:rPr>
                <w:rFonts w:eastAsia="Arial"/>
                <w:b/>
                <w:b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/2020-31/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/2021</w:t>
            </w:r>
          </w:p>
        </w:tc>
        <w:tc>
          <w:tcPr>
            <w:tcW w:w="1723" w:type="dxa"/>
            <w:noWrap/>
            <w:vAlign w:val="center"/>
          </w:tcPr>
          <w:p w14:paraId="7ED3A31A">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4</w:t>
            </w:r>
          </w:p>
          <w:p w14:paraId="751FB1A8">
            <w:pPr>
              <w:spacing w:before="0" w:after="0"/>
              <w:jc w:val="center"/>
              <w:rPr>
                <w:rFonts w:eastAsia="Arial"/>
                <w:b/>
                <w:b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/2021-31/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/2022</w:t>
            </w:r>
          </w:p>
        </w:tc>
        <w:tc>
          <w:tcPr>
            <w:tcW w:w="1703" w:type="dxa"/>
            <w:noWrap/>
            <w:vAlign w:val="center"/>
          </w:tcPr>
          <w:p w14:paraId="34E6B212">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5</w:t>
            </w:r>
          </w:p>
          <w:p w14:paraId="18B938F8">
            <w:pPr>
              <w:spacing w:before="0" w:after="0"/>
              <w:jc w:val="center"/>
              <w:rPr>
                <w:rFonts w:eastAsia="Arial"/>
                <w:b/>
                <w:b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/2022-31/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/2023</w:t>
            </w:r>
          </w:p>
        </w:tc>
      </w:tr>
      <w:tr w14:paraId="50A3A590">
        <w:trPr>
          <w:trHeight w:val="320" w:hRule="atLeast"/>
          <w:jc w:val="center"/>
        </w:trPr>
        <w:tc>
          <w:tcPr>
            <w:tcW w:w="1237" w:type="dxa"/>
            <w:noWrap/>
          </w:tcPr>
          <w:p w14:paraId="59D7E047">
            <w:pPr>
              <w:spacing w:before="0" w:after="0"/>
              <w:rPr>
                <w:rFonts w:eastAsia="Arial"/>
                <w:highlight w:val="none"/>
              </w:rPr>
            </w:pPr>
            <w:r>
              <w:rPr>
                <w:rFonts w:eastAsia="Arial"/>
                <w:highlight w:val="none"/>
              </w:rPr>
              <w:t>FC (L)</w:t>
            </w:r>
          </w:p>
        </w:tc>
        <w:tc>
          <w:tcPr>
            <w:tcW w:w="1739" w:type="dxa"/>
            <w:noWrap/>
            <w:vAlign w:val="center"/>
          </w:tcPr>
          <w:p w14:paraId="7232D0DB">
            <w:pPr>
              <w:spacing w:before="0" w:after="0"/>
              <w:rPr>
                <w:rFonts w:hint="default" w:eastAsia="Arial"/>
                <w:highlight w:val="none"/>
              </w:rPr>
            </w:pPr>
            <w:r>
              <w:rPr>
                <w:rFonts w:hint="default" w:eastAsia="Arial"/>
                <w:highlight w:val="none"/>
                <w:lang w:val="en-US" w:eastAsia="zh-CN"/>
              </w:rPr>
              <w:t>12,174.80</w:t>
            </w:r>
          </w:p>
        </w:tc>
        <w:tc>
          <w:tcPr>
            <w:tcW w:w="1688" w:type="dxa"/>
            <w:noWrap/>
            <w:vAlign w:val="center"/>
          </w:tcPr>
          <w:p w14:paraId="51FA4463">
            <w:pPr>
              <w:spacing w:before="0" w:after="0"/>
              <w:rPr>
                <w:rFonts w:hint="default" w:eastAsia="Arial"/>
                <w:highlight w:val="none"/>
              </w:rPr>
            </w:pPr>
            <w:r>
              <w:rPr>
                <w:rFonts w:hint="default" w:eastAsia="Arial"/>
                <w:highlight w:val="none"/>
                <w:lang w:val="en-US" w:eastAsia="zh-CN"/>
              </w:rPr>
              <w:t>20,528.73</w:t>
            </w:r>
          </w:p>
        </w:tc>
        <w:tc>
          <w:tcPr>
            <w:tcW w:w="1842" w:type="dxa"/>
            <w:noWrap/>
            <w:vAlign w:val="center"/>
          </w:tcPr>
          <w:p w14:paraId="6EF79ADD">
            <w:pPr>
              <w:spacing w:before="0" w:after="0"/>
              <w:rPr>
                <w:rFonts w:hint="default" w:eastAsia="Arial"/>
                <w:highlight w:val="none"/>
              </w:rPr>
            </w:pPr>
            <w:r>
              <w:rPr>
                <w:rFonts w:hint="default" w:eastAsia="Arial"/>
                <w:highlight w:val="none"/>
                <w:lang w:val="en-US" w:eastAsia="zh-CN"/>
              </w:rPr>
              <w:t>17,923.14</w:t>
            </w:r>
          </w:p>
        </w:tc>
        <w:tc>
          <w:tcPr>
            <w:tcW w:w="1723" w:type="dxa"/>
            <w:noWrap/>
            <w:vAlign w:val="center"/>
          </w:tcPr>
          <w:p w14:paraId="7921A2BF">
            <w:pPr>
              <w:spacing w:before="0" w:after="0"/>
              <w:rPr>
                <w:rFonts w:hint="default" w:eastAsia="Arial"/>
                <w:highlight w:val="none"/>
              </w:rPr>
            </w:pPr>
            <w:r>
              <w:rPr>
                <w:rFonts w:hint="default" w:eastAsia="Arial"/>
                <w:highlight w:val="none"/>
                <w:lang w:val="en-US" w:eastAsia="zh-CN"/>
              </w:rPr>
              <w:t>19,959.50</w:t>
            </w:r>
          </w:p>
        </w:tc>
        <w:tc>
          <w:tcPr>
            <w:tcW w:w="1703" w:type="dxa"/>
            <w:noWrap/>
            <w:vAlign w:val="center"/>
          </w:tcPr>
          <w:p w14:paraId="20AD3B9F">
            <w:pPr>
              <w:spacing w:before="0" w:after="0"/>
              <w:rPr>
                <w:rFonts w:hint="default" w:eastAsia="Arial"/>
                <w:highlight w:val="none"/>
              </w:rPr>
            </w:pPr>
            <w:r>
              <w:rPr>
                <w:rFonts w:hint="default" w:eastAsia="Arial"/>
                <w:highlight w:val="none"/>
                <w:lang w:val="en-US" w:eastAsia="zh-CN"/>
              </w:rPr>
              <w:t>34,699.79</w:t>
            </w:r>
          </w:p>
        </w:tc>
      </w:tr>
      <w:tr w14:paraId="616F310E">
        <w:trPr>
          <w:trHeight w:val="320" w:hRule="atLeast"/>
          <w:jc w:val="center"/>
        </w:trPr>
        <w:tc>
          <w:tcPr>
            <w:tcW w:w="1237" w:type="dxa"/>
            <w:noWrap/>
          </w:tcPr>
          <w:p w14:paraId="48DB75E4">
            <w:pPr>
              <w:spacing w:before="0" w:after="0"/>
              <w:rPr>
                <w:rFonts w:eastAsia="Arial"/>
                <w:highlight w:val="none"/>
              </w:rPr>
            </w:pPr>
            <w:r>
              <w:rPr>
                <w:rFonts w:eastAsia="Arial"/>
                <w:highlight w:val="none"/>
              </w:rPr>
              <w:t>EF (ton CO</w:t>
            </w:r>
            <w:r>
              <w:rPr>
                <w:rFonts w:eastAsia="Arial"/>
                <w:highlight w:val="none"/>
                <w:vertAlign w:val="subscript"/>
              </w:rPr>
              <w:t>2</w:t>
            </w:r>
            <w:r>
              <w:rPr>
                <w:rFonts w:hint="default" w:eastAsia="Arial"/>
                <w:highlight w:val="none"/>
                <w:vertAlign w:val="subscript"/>
                <w:lang w:val="es-ES"/>
              </w:rPr>
              <w:t>e</w:t>
            </w:r>
            <w:r>
              <w:rPr>
                <w:rFonts w:eastAsia="Arial"/>
                <w:highlight w:val="none"/>
              </w:rPr>
              <w:t>/L)</w:t>
            </w:r>
          </w:p>
        </w:tc>
        <w:tc>
          <w:tcPr>
            <w:tcW w:w="1739" w:type="dxa"/>
            <w:noWrap/>
            <w:vAlign w:val="bottom"/>
          </w:tcPr>
          <w:p w14:paraId="4A2CFB6D">
            <w:pPr>
              <w:spacing w:before="0" w:after="0"/>
              <w:rPr>
                <w:rFonts w:eastAsia="Arial"/>
                <w:highlight w:val="none"/>
              </w:rPr>
            </w:pPr>
            <w:r>
              <w:rPr>
                <w:rFonts w:eastAsia="Arial"/>
                <w:highlight w:val="none"/>
              </w:rPr>
              <w:t>0,00261</w:t>
            </w:r>
          </w:p>
        </w:tc>
        <w:tc>
          <w:tcPr>
            <w:tcW w:w="1688" w:type="dxa"/>
            <w:noWrap/>
            <w:vAlign w:val="bottom"/>
          </w:tcPr>
          <w:p w14:paraId="3DDA15E4">
            <w:pPr>
              <w:spacing w:before="0" w:after="0"/>
              <w:rPr>
                <w:rFonts w:eastAsia="Arial"/>
                <w:highlight w:val="none"/>
              </w:rPr>
            </w:pPr>
            <w:r>
              <w:rPr>
                <w:rFonts w:eastAsia="Arial"/>
                <w:highlight w:val="none"/>
              </w:rPr>
              <w:t>0,00261</w:t>
            </w:r>
          </w:p>
        </w:tc>
        <w:tc>
          <w:tcPr>
            <w:tcW w:w="1842" w:type="dxa"/>
            <w:noWrap/>
            <w:vAlign w:val="bottom"/>
          </w:tcPr>
          <w:p w14:paraId="309D22A1">
            <w:pPr>
              <w:spacing w:before="0" w:after="0"/>
              <w:rPr>
                <w:rFonts w:eastAsia="Arial"/>
                <w:highlight w:val="none"/>
              </w:rPr>
            </w:pPr>
            <w:r>
              <w:rPr>
                <w:rFonts w:eastAsia="Arial"/>
                <w:highlight w:val="none"/>
              </w:rPr>
              <w:t>0,00261</w:t>
            </w:r>
          </w:p>
        </w:tc>
        <w:tc>
          <w:tcPr>
            <w:tcW w:w="1723" w:type="dxa"/>
            <w:noWrap/>
            <w:vAlign w:val="bottom"/>
          </w:tcPr>
          <w:p w14:paraId="1ECB1E4F">
            <w:pPr>
              <w:spacing w:before="0" w:after="0"/>
              <w:rPr>
                <w:rFonts w:eastAsia="Arial"/>
                <w:highlight w:val="none"/>
              </w:rPr>
            </w:pPr>
            <w:r>
              <w:rPr>
                <w:rFonts w:eastAsia="Arial"/>
                <w:highlight w:val="none"/>
              </w:rPr>
              <w:t>0,00261</w:t>
            </w:r>
          </w:p>
        </w:tc>
        <w:tc>
          <w:tcPr>
            <w:tcW w:w="1703" w:type="dxa"/>
            <w:noWrap/>
            <w:vAlign w:val="bottom"/>
          </w:tcPr>
          <w:p w14:paraId="37E6295A">
            <w:pPr>
              <w:spacing w:before="0" w:after="0"/>
              <w:rPr>
                <w:rFonts w:eastAsia="Arial"/>
                <w:highlight w:val="none"/>
              </w:rPr>
            </w:pPr>
            <w:r>
              <w:rPr>
                <w:rFonts w:eastAsia="Arial"/>
                <w:highlight w:val="none"/>
              </w:rPr>
              <w:t>0,00261</w:t>
            </w:r>
          </w:p>
        </w:tc>
      </w:tr>
      <w:tr w14:paraId="68E49BFC">
        <w:trPr>
          <w:trHeight w:val="108" w:hRule="atLeast"/>
          <w:jc w:val="center"/>
        </w:trPr>
        <w:tc>
          <w:tcPr>
            <w:tcW w:w="1237" w:type="dxa"/>
            <w:noWrap/>
          </w:tcPr>
          <w:p w14:paraId="1DB1296D">
            <w:pPr>
              <w:spacing w:before="0" w:after="0"/>
              <w:jc w:val="center"/>
              <w:rPr>
                <w:rFonts w:hint="default" w:eastAsia="Arial"/>
                <w:b/>
                <w:bCs/>
                <w:highlight w:val="none"/>
                <w:vertAlign w:val="baseline"/>
                <w:lang w:val="es-ES"/>
              </w:rPr>
            </w:pPr>
            <w:r>
              <w:rPr>
                <w:rFonts w:eastAsia="Arial"/>
                <w:b/>
                <w:bCs/>
                <w:highlight w:val="none"/>
              </w:rPr>
              <w:t>PE</w:t>
            </w:r>
            <w:r>
              <w:rPr>
                <w:rFonts w:eastAsia="Arial"/>
                <w:b/>
                <w:bCs/>
                <w:highlight w:val="none"/>
                <w:vertAlign w:val="subscript"/>
              </w:rPr>
              <w:t>FC,y</w:t>
            </w:r>
            <w:r>
              <w:rPr>
                <w:rFonts w:hint="default" w:eastAsia="Arial"/>
                <w:b/>
                <w:bCs/>
                <w:highlight w:val="none"/>
                <w:vertAlign w:val="subscript"/>
                <w:lang w:val="es-ES"/>
              </w:rPr>
              <w:t xml:space="preserve"> </w:t>
            </w:r>
            <w:r>
              <w:rPr>
                <w:rFonts w:hint="default" w:eastAsia="Arial"/>
                <w:b/>
                <w:bCs/>
                <w:highlight w:val="none"/>
                <w:vertAlign w:val="baseline"/>
                <w:lang w:val="es-ES"/>
              </w:rPr>
              <w:t>ton CO</w:t>
            </w:r>
            <w:r>
              <w:rPr>
                <w:rFonts w:hint="default" w:eastAsia="Arial"/>
                <w:b/>
                <w:bCs/>
                <w:highlight w:val="none"/>
                <w:vertAlign w:val="subscript"/>
                <w:lang w:val="es-ES"/>
              </w:rPr>
              <w:t>2</w:t>
            </w:r>
            <w:r>
              <w:rPr>
                <w:rFonts w:hint="default" w:eastAsia="Arial"/>
                <w:b/>
                <w:bCs/>
                <w:highlight w:val="none"/>
                <w:vertAlign w:val="baseline"/>
                <w:lang w:val="es-ES"/>
              </w:rPr>
              <w:t>e)</w:t>
            </w:r>
          </w:p>
        </w:tc>
        <w:tc>
          <w:tcPr>
            <w:tcW w:w="1739" w:type="dxa"/>
            <w:noWrap/>
            <w:vAlign w:val="bottom"/>
          </w:tcPr>
          <w:p w14:paraId="6B16C5CA">
            <w:pPr>
              <w:spacing w:before="0" w:after="0"/>
              <w:rPr>
                <w:rFonts w:hint="default" w:eastAsia="Arial"/>
                <w:b/>
                <w:bCs/>
                <w:highlight w:val="none"/>
                <w:lang w:val="es-ES"/>
              </w:rPr>
            </w:pPr>
            <w:r>
              <w:rPr>
                <w:rFonts w:hint="default" w:eastAsia="Arial"/>
                <w:b/>
                <w:bCs/>
                <w:highlight w:val="none"/>
                <w:lang w:val="es-ES"/>
              </w:rPr>
              <w:t>31</w:t>
            </w:r>
          </w:p>
        </w:tc>
        <w:tc>
          <w:tcPr>
            <w:tcW w:w="1688" w:type="dxa"/>
            <w:noWrap/>
            <w:vAlign w:val="bottom"/>
          </w:tcPr>
          <w:p w14:paraId="268BEDDA">
            <w:pPr>
              <w:spacing w:before="0" w:after="0"/>
              <w:rPr>
                <w:rFonts w:hint="default" w:eastAsia="Arial"/>
                <w:b/>
                <w:bCs/>
                <w:highlight w:val="none"/>
                <w:lang w:val="es-ES"/>
              </w:rPr>
            </w:pPr>
            <w:r>
              <w:rPr>
                <w:rFonts w:eastAsia="Arial"/>
                <w:b/>
                <w:bCs/>
                <w:highlight w:val="none"/>
              </w:rPr>
              <w:t>5</w:t>
            </w:r>
            <w:r>
              <w:rPr>
                <w:rFonts w:hint="default" w:eastAsia="Arial"/>
                <w:b/>
                <w:bCs/>
                <w:highlight w:val="none"/>
                <w:lang w:val="es-ES"/>
              </w:rPr>
              <w:t>3</w:t>
            </w:r>
          </w:p>
        </w:tc>
        <w:tc>
          <w:tcPr>
            <w:tcW w:w="1842" w:type="dxa"/>
            <w:noWrap/>
            <w:vAlign w:val="bottom"/>
          </w:tcPr>
          <w:p w14:paraId="70B47E0A">
            <w:pPr>
              <w:spacing w:before="0" w:after="0"/>
              <w:rPr>
                <w:rFonts w:hint="default" w:eastAsia="Arial"/>
                <w:b/>
                <w:bCs/>
                <w:highlight w:val="none"/>
                <w:lang w:val="es-ES"/>
              </w:rPr>
            </w:pPr>
            <w:r>
              <w:rPr>
                <w:rFonts w:eastAsia="Arial"/>
                <w:b/>
                <w:bCs/>
                <w:highlight w:val="none"/>
              </w:rPr>
              <w:t>46</w:t>
            </w:r>
          </w:p>
        </w:tc>
        <w:tc>
          <w:tcPr>
            <w:tcW w:w="1723" w:type="dxa"/>
            <w:noWrap/>
            <w:vAlign w:val="bottom"/>
          </w:tcPr>
          <w:p w14:paraId="37B0F5FE">
            <w:pPr>
              <w:spacing w:before="0" w:after="0"/>
              <w:rPr>
                <w:rFonts w:hint="default" w:eastAsia="Arial"/>
                <w:b/>
                <w:bCs/>
                <w:highlight w:val="none"/>
                <w:lang w:val="es-ES"/>
              </w:rPr>
            </w:pPr>
            <w:r>
              <w:rPr>
                <w:rFonts w:hint="default" w:eastAsia="Arial"/>
                <w:b/>
                <w:bCs/>
                <w:highlight w:val="none"/>
                <w:lang w:val="es-ES"/>
              </w:rPr>
              <w:t>52</w:t>
            </w:r>
          </w:p>
        </w:tc>
        <w:tc>
          <w:tcPr>
            <w:tcW w:w="1703" w:type="dxa"/>
            <w:noWrap/>
            <w:vAlign w:val="bottom"/>
          </w:tcPr>
          <w:p w14:paraId="07E1F999">
            <w:pPr>
              <w:spacing w:before="0" w:after="0"/>
              <w:rPr>
                <w:rFonts w:hint="default" w:eastAsia="Arial"/>
                <w:b/>
                <w:bCs/>
                <w:highlight w:val="none"/>
                <w:lang w:val="es-ES"/>
              </w:rPr>
            </w:pPr>
            <w:r>
              <w:rPr>
                <w:rFonts w:hint="default" w:eastAsia="Arial"/>
                <w:b/>
                <w:bCs/>
                <w:highlight w:val="none"/>
                <w:lang w:val="es-ES"/>
              </w:rPr>
              <w:t>90</w:t>
            </w:r>
          </w:p>
        </w:tc>
      </w:tr>
    </w:tbl>
    <w:p w14:paraId="34869117">
      <w:pPr>
        <w:spacing w:after="160" w:line="259" w:lineRule="auto"/>
        <w:rPr>
          <w:rFonts w:hint="default"/>
          <w:bCs/>
          <w:color w:val="000000" w:themeColor="text1"/>
          <w:highlight w:val="none"/>
          <w:vertAlign w:val="baseline"/>
          <w:lang w:val="es-ES"/>
          <w14:textFill>
            <w14:solidFill>
              <w14:schemeClr w14:val="tx1"/>
            </w14:solidFill>
          </w14:textFill>
        </w:rPr>
      </w:pPr>
    </w:p>
    <w:p w14:paraId="231EAFBF">
      <w:pPr>
        <w:spacing w:after="0"/>
        <w:rPr>
          <w:rFonts w:eastAsia="Arial"/>
          <w:highlight w:val="none"/>
          <w:u w:val="single"/>
          <w:lang w:val="en-US"/>
        </w:rPr>
      </w:pPr>
      <w:r>
        <w:rPr>
          <w:rFonts w:eastAsia="Arial"/>
          <w:highlight w:val="none"/>
          <w:u w:val="single"/>
          <w:lang w:val="en-US"/>
        </w:rPr>
        <w:t>Determination of project emissions of methane (PE</w:t>
      </w:r>
      <w:r>
        <w:rPr>
          <w:rFonts w:eastAsia="Arial"/>
          <w:highlight w:val="none"/>
          <w:u w:val="single"/>
          <w:vertAlign w:val="subscript"/>
          <w:lang w:val="en-US"/>
        </w:rPr>
        <w:t>CH4,y</w:t>
      </w:r>
      <w:r>
        <w:rPr>
          <w:rFonts w:eastAsia="Arial"/>
          <w:highlight w:val="none"/>
          <w:u w:val="single"/>
          <w:lang w:val="en-US"/>
        </w:rPr>
        <w:t>)</w:t>
      </w:r>
    </w:p>
    <w:p w14:paraId="19E90A08">
      <w:pPr>
        <w:spacing w:after="0"/>
        <w:rPr>
          <w:rFonts w:eastAsia="Arial"/>
          <w:highlight w:val="none"/>
          <w:lang w:val="en-US"/>
        </w:rPr>
      </w:pPr>
      <w:r>
        <w:rPr>
          <w:rFonts w:eastAsia="Arial"/>
          <w:highlight w:val="none"/>
          <w:lang w:val="en-US"/>
        </w:rPr>
        <w:t>As per para 22 of the tool, Project emissions of methane from composting are determined as follows:</w:t>
      </w:r>
    </w:p>
    <w:p w14:paraId="6D938C2D">
      <w:pPr>
        <w:spacing w:before="0" w:after="0"/>
        <w:jc w:val="center"/>
        <w:rPr>
          <w:rFonts w:eastAsia="Arial"/>
          <w:highlight w:val="none"/>
          <w:vertAlign w:val="subscript"/>
          <w:lang w:val="en-US"/>
        </w:rPr>
      </w:pP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𝐶𝐻</w:t>
      </w:r>
      <w:r>
        <w:rPr>
          <w:rFonts w:eastAsia="Arial"/>
          <w:highlight w:val="none"/>
          <w:vertAlign w:val="subscript"/>
          <w:lang w:val="en-US"/>
        </w:rPr>
        <w:t xml:space="preserve">4,y </w:t>
      </w:r>
      <w:r>
        <w:rPr>
          <w:rFonts w:eastAsia="Arial"/>
          <w:highlight w:val="none"/>
          <w:lang w:val="en-US"/>
        </w:rPr>
        <w:t xml:space="preserve">= </w:t>
      </w:r>
      <w:r>
        <w:rPr>
          <w:rFonts w:ascii="Cambria Math" w:hAnsi="Cambria Math" w:eastAsia="Times New Roman" w:cs="Cambria Math"/>
          <w:highlight w:val="none"/>
          <w:lang w:val="en-US"/>
        </w:rPr>
        <w:t>𝑄</w:t>
      </w:r>
      <w:r>
        <w:rPr>
          <w:rFonts w:ascii="Cambria Math" w:hAnsi="Cambria Math" w:eastAsia="Times New Roman" w:cs="Cambria Math"/>
          <w:highlight w:val="none"/>
          <w:vertAlign w:val="subscript"/>
          <w:lang w:val="en-US"/>
        </w:rPr>
        <w:t>𝑦</w:t>
      </w:r>
      <w:r>
        <w:rPr>
          <w:rFonts w:eastAsia="Arial"/>
          <w:highlight w:val="none"/>
          <w:lang w:val="en-US"/>
        </w:rPr>
        <w:t xml:space="preserve"> × </w:t>
      </w:r>
      <w:r>
        <w:rPr>
          <w:rFonts w:ascii="Cambria Math" w:hAnsi="Cambria Math" w:eastAsia="Times New Roman" w:cs="Cambria Math"/>
          <w:highlight w:val="none"/>
          <w:lang w:val="en-US"/>
        </w:rPr>
        <w:t>𝐸𝐹</w:t>
      </w:r>
      <w:r>
        <w:rPr>
          <w:rFonts w:ascii="Cambria Math" w:hAnsi="Cambria Math" w:eastAsia="Times New Roman" w:cs="Cambria Math"/>
          <w:highlight w:val="none"/>
          <w:vertAlign w:val="subscript"/>
          <w:lang w:val="en-US"/>
        </w:rPr>
        <w:t>𝐶𝐻</w:t>
      </w:r>
      <w:r>
        <w:rPr>
          <w:rFonts w:eastAsia="Arial"/>
          <w:highlight w:val="none"/>
          <w:vertAlign w:val="subscript"/>
          <w:lang w:val="en-US"/>
        </w:rPr>
        <w:t xml:space="preserve">4,y </w:t>
      </w:r>
      <w:r>
        <w:rPr>
          <w:rFonts w:eastAsia="Arial"/>
          <w:highlight w:val="none"/>
          <w:lang w:val="en-US"/>
        </w:rPr>
        <w:t xml:space="preserve">× </w:t>
      </w:r>
      <w:r>
        <w:rPr>
          <w:rFonts w:ascii="Cambria Math" w:hAnsi="Cambria Math" w:eastAsia="Times New Roman" w:cs="Cambria Math"/>
          <w:highlight w:val="none"/>
          <w:lang w:val="en-US"/>
        </w:rPr>
        <w:t>𝐺𝑊𝑃</w:t>
      </w:r>
      <w:r>
        <w:rPr>
          <w:rFonts w:ascii="Cambria Math" w:hAnsi="Cambria Math" w:eastAsia="Times New Roman" w:cs="Cambria Math"/>
          <w:highlight w:val="none"/>
          <w:vertAlign w:val="subscript"/>
          <w:lang w:val="en-US"/>
        </w:rPr>
        <w:t>𝐶𝐻</w:t>
      </w:r>
      <w:r>
        <w:rPr>
          <w:rFonts w:eastAsia="Arial"/>
          <w:highlight w:val="none"/>
          <w:vertAlign w:val="subscript"/>
          <w:lang w:val="en-US"/>
        </w:rPr>
        <w:t>4</w:t>
      </w:r>
    </w:p>
    <w:p w14:paraId="6E7A85BE">
      <w:pPr>
        <w:spacing w:before="0" w:after="0"/>
        <w:rPr>
          <w:rFonts w:eastAsia="Arial"/>
          <w:iCs/>
          <w:highlight w:val="none"/>
          <w:lang w:val="en-US"/>
        </w:rPr>
      </w:pPr>
      <w:r>
        <w:rPr>
          <w:rFonts w:eastAsia="Arial"/>
          <w:iCs/>
          <w:highlight w:val="none"/>
          <w:lang w:val="en-US"/>
        </w:rPr>
        <w:t>Where:</w:t>
      </w:r>
    </w:p>
    <w:tbl>
      <w:tblPr>
        <w:tblStyle w:val="12"/>
        <w:tblW w:w="8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4"/>
        <w:gridCol w:w="284"/>
        <w:gridCol w:w="6946"/>
      </w:tblGrid>
      <w:tr w14:paraId="750DAFC5">
        <w:trPr>
          <w:trHeight w:val="38" w:hRule="atLeast"/>
        </w:trPr>
        <w:tc>
          <w:tcPr>
            <w:tcW w:w="1134" w:type="dxa"/>
            <w:tcBorders>
              <w:top w:val="nil"/>
              <w:left w:val="nil"/>
              <w:bottom w:val="nil"/>
              <w:right w:val="nil"/>
            </w:tcBorders>
            <w:tcMar>
              <w:top w:w="80" w:type="dxa"/>
              <w:left w:w="100" w:type="dxa"/>
              <w:bottom w:w="20" w:type="dxa"/>
              <w:right w:w="100" w:type="dxa"/>
            </w:tcMar>
          </w:tcPr>
          <w:p w14:paraId="49FB711D">
            <w:pPr>
              <w:spacing w:before="0" w:after="0"/>
              <w:jc w:val="right"/>
              <w:rPr>
                <w:rFonts w:eastAsia="Times New Roman"/>
                <w:highlight w:val="none"/>
                <w:vertAlign w:val="subscript"/>
                <w:lang w:val="en-US"/>
              </w:rPr>
            </w:pPr>
            <w:r>
              <w:rPr>
                <w:rFonts w:ascii="Cambria Math" w:hAnsi="Cambria Math" w:eastAsia="Times New Roman" w:cs="Cambria Math"/>
                <w:highlight w:val="none"/>
                <w:lang w:val="en-US"/>
              </w:rPr>
              <w:t>𝑃𝐸</w:t>
            </w:r>
            <w:r>
              <w:rPr>
                <w:rFonts w:ascii="Cambria Math" w:hAnsi="Cambria Math" w:eastAsia="Times New Roman" w:cs="Cambria Math"/>
                <w:highlight w:val="none"/>
                <w:vertAlign w:val="subscript"/>
                <w:lang w:val="en-US"/>
              </w:rPr>
              <w:t>𝐶𝐻</w:t>
            </w:r>
            <w:r>
              <w:rPr>
                <w:rFonts w:eastAsia="Arial"/>
                <w:highlight w:val="none"/>
                <w:vertAlign w:val="subscript"/>
                <w:lang w:val="en-US"/>
              </w:rPr>
              <w:t>4,</w:t>
            </w:r>
            <w:r>
              <w:rPr>
                <w:rFonts w:ascii="Cambria Math" w:hAnsi="Cambria Math" w:eastAsia="Times New Roman" w:cs="Cambria Math"/>
                <w:highlight w:val="none"/>
                <w:vertAlign w:val="subscript"/>
                <w:lang w:val="en-US"/>
              </w:rPr>
              <w:t>𝑦</w:t>
            </w:r>
          </w:p>
        </w:tc>
        <w:tc>
          <w:tcPr>
            <w:tcW w:w="284" w:type="dxa"/>
            <w:tcBorders>
              <w:top w:val="nil"/>
              <w:left w:val="nil"/>
              <w:bottom w:val="nil"/>
              <w:right w:val="nil"/>
            </w:tcBorders>
            <w:tcMar>
              <w:top w:w="80" w:type="dxa"/>
              <w:left w:w="100" w:type="dxa"/>
              <w:bottom w:w="20" w:type="dxa"/>
              <w:right w:w="100" w:type="dxa"/>
            </w:tcMar>
          </w:tcPr>
          <w:p w14:paraId="35F8EF19">
            <w:pPr>
              <w:spacing w:before="0" w:after="0"/>
              <w:rPr>
                <w:highlight w:val="none"/>
                <w:lang w:val="en-US"/>
              </w:rPr>
            </w:pPr>
            <w:r>
              <w:rPr>
                <w:highlight w:val="none"/>
                <w:lang w:val="en-US"/>
              </w:rPr>
              <w:t>=</w:t>
            </w:r>
          </w:p>
        </w:tc>
        <w:tc>
          <w:tcPr>
            <w:tcW w:w="6946" w:type="dxa"/>
            <w:tcBorders>
              <w:top w:val="nil"/>
              <w:left w:val="nil"/>
              <w:bottom w:val="nil"/>
              <w:right w:val="nil"/>
            </w:tcBorders>
            <w:tcMar>
              <w:top w:w="80" w:type="dxa"/>
              <w:left w:w="100" w:type="dxa"/>
              <w:bottom w:w="20" w:type="dxa"/>
              <w:right w:w="100" w:type="dxa"/>
            </w:tcMar>
          </w:tcPr>
          <w:p w14:paraId="10AF33AD">
            <w:pPr>
              <w:spacing w:before="0" w:after="0"/>
              <w:rPr>
                <w:rFonts w:eastAsia="Arial"/>
                <w:highlight w:val="none"/>
                <w:lang w:val="en-US"/>
              </w:rPr>
            </w:pPr>
            <w:r>
              <w:rPr>
                <w:highlight w:val="none"/>
                <w:lang w:val="en-US"/>
              </w:rPr>
              <w:t>Project emissions of methane from the composting process in year y (t CO</w:t>
            </w:r>
            <w:r>
              <w:rPr>
                <w:rFonts w:eastAsia="Arial"/>
                <w:highlight w:val="none"/>
                <w:vertAlign w:val="subscript"/>
                <w:lang w:val="en-US"/>
              </w:rPr>
              <w:t>2</w:t>
            </w:r>
            <w:r>
              <w:rPr>
                <w:rFonts w:eastAsia="Arial"/>
                <w:highlight w:val="none"/>
                <w:lang w:val="en-US"/>
              </w:rPr>
              <w:t>e / yr)</w:t>
            </w:r>
          </w:p>
        </w:tc>
      </w:tr>
      <w:tr w14:paraId="55B19993">
        <w:trPr>
          <w:trHeight w:val="17" w:hRule="atLeast"/>
        </w:trPr>
        <w:tc>
          <w:tcPr>
            <w:tcW w:w="1134" w:type="dxa"/>
            <w:tcBorders>
              <w:top w:val="nil"/>
              <w:left w:val="nil"/>
              <w:bottom w:val="nil"/>
              <w:right w:val="nil"/>
            </w:tcBorders>
            <w:tcMar>
              <w:top w:w="80" w:type="dxa"/>
              <w:left w:w="100" w:type="dxa"/>
              <w:bottom w:w="20" w:type="dxa"/>
              <w:right w:w="100" w:type="dxa"/>
            </w:tcMar>
          </w:tcPr>
          <w:p w14:paraId="4756A49C">
            <w:pPr>
              <w:spacing w:before="0" w:after="0"/>
              <w:jc w:val="right"/>
              <w:rPr>
                <w:rFonts w:eastAsia="Times New Roman"/>
                <w:highlight w:val="none"/>
                <w:vertAlign w:val="subscript"/>
                <w:lang w:val="en-US"/>
              </w:rPr>
            </w:pPr>
            <w:r>
              <w:rPr>
                <w:rFonts w:ascii="Cambria Math" w:hAnsi="Cambria Math" w:eastAsia="Times New Roman" w:cs="Cambria Math"/>
                <w:highlight w:val="none"/>
                <w:lang w:val="en-US"/>
              </w:rPr>
              <w:t>𝑄</w:t>
            </w:r>
            <w:r>
              <w:rPr>
                <w:rFonts w:ascii="Cambria Math" w:hAnsi="Cambria Math" w:eastAsia="Times New Roman" w:cs="Cambria Math"/>
                <w:highlight w:val="none"/>
                <w:vertAlign w:val="subscript"/>
                <w:lang w:val="en-US"/>
              </w:rPr>
              <w:t>𝑦</w:t>
            </w:r>
          </w:p>
        </w:tc>
        <w:tc>
          <w:tcPr>
            <w:tcW w:w="284" w:type="dxa"/>
            <w:tcBorders>
              <w:top w:val="nil"/>
              <w:left w:val="nil"/>
              <w:bottom w:val="nil"/>
              <w:right w:val="nil"/>
            </w:tcBorders>
            <w:tcMar>
              <w:top w:w="80" w:type="dxa"/>
              <w:left w:w="100" w:type="dxa"/>
              <w:bottom w:w="20" w:type="dxa"/>
              <w:right w:w="100" w:type="dxa"/>
            </w:tcMar>
          </w:tcPr>
          <w:p w14:paraId="49FA11DC">
            <w:pPr>
              <w:spacing w:before="0" w:after="0"/>
              <w:rPr>
                <w:highlight w:val="none"/>
                <w:lang w:val="en-US"/>
              </w:rPr>
            </w:pPr>
            <w:r>
              <w:rPr>
                <w:highlight w:val="none"/>
                <w:lang w:val="en-US"/>
              </w:rPr>
              <w:t>=</w:t>
            </w:r>
          </w:p>
        </w:tc>
        <w:tc>
          <w:tcPr>
            <w:tcW w:w="6946" w:type="dxa"/>
            <w:tcBorders>
              <w:top w:val="nil"/>
              <w:left w:val="nil"/>
              <w:bottom w:val="nil"/>
              <w:right w:val="nil"/>
            </w:tcBorders>
            <w:tcMar>
              <w:top w:w="80" w:type="dxa"/>
              <w:left w:w="100" w:type="dxa"/>
              <w:bottom w:w="20" w:type="dxa"/>
              <w:right w:w="100" w:type="dxa"/>
            </w:tcMar>
          </w:tcPr>
          <w:p w14:paraId="6C1B2C31">
            <w:pPr>
              <w:spacing w:before="0" w:after="0"/>
              <w:rPr>
                <w:highlight w:val="none"/>
                <w:lang w:val="en-US"/>
              </w:rPr>
            </w:pPr>
            <w:r>
              <w:rPr>
                <w:highlight w:val="none"/>
                <w:lang w:val="en-US"/>
              </w:rPr>
              <w:t>Quantity of waste composted in year y (t / yr)</w:t>
            </w:r>
          </w:p>
        </w:tc>
      </w:tr>
      <w:tr w14:paraId="3446656A">
        <w:trPr>
          <w:trHeight w:val="17" w:hRule="atLeast"/>
        </w:trPr>
        <w:tc>
          <w:tcPr>
            <w:tcW w:w="1134" w:type="dxa"/>
            <w:tcBorders>
              <w:top w:val="nil"/>
              <w:left w:val="nil"/>
              <w:bottom w:val="nil"/>
              <w:right w:val="nil"/>
            </w:tcBorders>
            <w:tcMar>
              <w:top w:w="80" w:type="dxa"/>
              <w:left w:w="100" w:type="dxa"/>
              <w:bottom w:w="20" w:type="dxa"/>
              <w:right w:w="100" w:type="dxa"/>
            </w:tcMar>
          </w:tcPr>
          <w:p w14:paraId="3A9E214A">
            <w:pPr>
              <w:spacing w:before="0" w:after="0"/>
              <w:jc w:val="right"/>
              <w:rPr>
                <w:rFonts w:eastAsia="Times New Roman"/>
                <w:highlight w:val="none"/>
                <w:vertAlign w:val="subscript"/>
                <w:lang w:val="en-US"/>
              </w:rPr>
            </w:pPr>
            <w:r>
              <w:rPr>
                <w:highlight w:val="none"/>
                <w:lang w:val="en-US"/>
              </w:rPr>
              <w:t xml:space="preserve"> </w:t>
            </w:r>
            <w:r>
              <w:rPr>
                <w:rFonts w:ascii="Cambria Math" w:hAnsi="Cambria Math" w:eastAsia="Times New Roman" w:cs="Cambria Math"/>
                <w:highlight w:val="none"/>
                <w:lang w:val="en-US"/>
              </w:rPr>
              <w:t>𝐸𝐹</w:t>
            </w:r>
            <w:r>
              <w:rPr>
                <w:rFonts w:ascii="Cambria Math" w:hAnsi="Cambria Math" w:eastAsia="Times New Roman" w:cs="Cambria Math"/>
                <w:highlight w:val="none"/>
                <w:vertAlign w:val="subscript"/>
                <w:lang w:val="en-US"/>
              </w:rPr>
              <w:t>𝐶𝐻</w:t>
            </w:r>
            <w:r>
              <w:rPr>
                <w:rFonts w:eastAsia="Arial"/>
                <w:highlight w:val="none"/>
                <w:vertAlign w:val="subscript"/>
                <w:lang w:val="en-US"/>
              </w:rPr>
              <w:t>4,</w:t>
            </w:r>
            <w:r>
              <w:rPr>
                <w:rFonts w:ascii="Cambria Math" w:hAnsi="Cambria Math" w:eastAsia="Times New Roman" w:cs="Cambria Math"/>
                <w:highlight w:val="none"/>
                <w:vertAlign w:val="subscript"/>
                <w:lang w:val="en-US"/>
              </w:rPr>
              <w:t>𝑦</w:t>
            </w:r>
          </w:p>
        </w:tc>
        <w:tc>
          <w:tcPr>
            <w:tcW w:w="284" w:type="dxa"/>
            <w:tcBorders>
              <w:top w:val="nil"/>
              <w:left w:val="nil"/>
              <w:bottom w:val="nil"/>
              <w:right w:val="nil"/>
            </w:tcBorders>
            <w:tcMar>
              <w:top w:w="80" w:type="dxa"/>
              <w:left w:w="100" w:type="dxa"/>
              <w:bottom w:w="20" w:type="dxa"/>
              <w:right w:w="100" w:type="dxa"/>
            </w:tcMar>
          </w:tcPr>
          <w:p w14:paraId="1C63F06F">
            <w:pPr>
              <w:spacing w:before="0" w:after="0"/>
              <w:rPr>
                <w:highlight w:val="none"/>
                <w:lang w:val="en-US"/>
              </w:rPr>
            </w:pPr>
            <w:r>
              <w:rPr>
                <w:highlight w:val="none"/>
                <w:lang w:val="en-US"/>
              </w:rPr>
              <w:t>=</w:t>
            </w:r>
          </w:p>
        </w:tc>
        <w:tc>
          <w:tcPr>
            <w:tcW w:w="6946" w:type="dxa"/>
            <w:tcBorders>
              <w:top w:val="nil"/>
              <w:left w:val="nil"/>
              <w:bottom w:val="nil"/>
              <w:right w:val="nil"/>
            </w:tcBorders>
            <w:tcMar>
              <w:top w:w="80" w:type="dxa"/>
              <w:left w:w="100" w:type="dxa"/>
              <w:bottom w:w="20" w:type="dxa"/>
              <w:right w:w="100" w:type="dxa"/>
            </w:tcMar>
          </w:tcPr>
          <w:p w14:paraId="2F433E16">
            <w:pPr>
              <w:spacing w:before="0" w:after="0"/>
              <w:rPr>
                <w:rFonts w:eastAsia="Arial"/>
                <w:highlight w:val="none"/>
                <w:lang w:val="en-US"/>
              </w:rPr>
            </w:pPr>
            <w:r>
              <w:rPr>
                <w:highlight w:val="none"/>
                <w:lang w:val="en-US"/>
              </w:rPr>
              <w:t>Emission factor of methane per tonne of waste composted valid for year y (t CH</w:t>
            </w:r>
            <w:r>
              <w:rPr>
                <w:rFonts w:eastAsia="Arial"/>
                <w:highlight w:val="none"/>
                <w:vertAlign w:val="subscript"/>
                <w:lang w:val="en-US"/>
              </w:rPr>
              <w:t>4</w:t>
            </w:r>
            <w:r>
              <w:rPr>
                <w:rFonts w:eastAsia="Arial"/>
                <w:highlight w:val="none"/>
                <w:lang w:val="en-US"/>
              </w:rPr>
              <w:t xml:space="preserve"> / t)</w:t>
            </w:r>
          </w:p>
        </w:tc>
      </w:tr>
      <w:tr w14:paraId="13FFC34A">
        <w:trPr>
          <w:trHeight w:val="17" w:hRule="atLeast"/>
        </w:trPr>
        <w:tc>
          <w:tcPr>
            <w:tcW w:w="1134" w:type="dxa"/>
            <w:tcBorders>
              <w:top w:val="nil"/>
              <w:left w:val="nil"/>
              <w:bottom w:val="nil"/>
              <w:right w:val="nil"/>
            </w:tcBorders>
            <w:tcMar>
              <w:top w:w="80" w:type="dxa"/>
              <w:left w:w="100" w:type="dxa"/>
              <w:bottom w:w="20" w:type="dxa"/>
              <w:right w:w="100" w:type="dxa"/>
            </w:tcMar>
          </w:tcPr>
          <w:p w14:paraId="122ACC41">
            <w:pPr>
              <w:spacing w:before="0" w:after="0"/>
              <w:jc w:val="right"/>
              <w:rPr>
                <w:rFonts w:eastAsia="Arial"/>
                <w:highlight w:val="none"/>
                <w:vertAlign w:val="subscript"/>
                <w:lang w:val="en-US"/>
              </w:rPr>
            </w:pPr>
            <w:r>
              <w:rPr>
                <w:rFonts w:ascii="Cambria Math" w:hAnsi="Cambria Math" w:eastAsia="Times New Roman" w:cs="Cambria Math"/>
                <w:highlight w:val="none"/>
                <w:lang w:val="en-US"/>
              </w:rPr>
              <w:t>𝐺𝑊𝑃</w:t>
            </w:r>
            <w:r>
              <w:rPr>
                <w:rFonts w:ascii="Cambria Math" w:hAnsi="Cambria Math" w:eastAsia="Times New Roman" w:cs="Cambria Math"/>
                <w:highlight w:val="none"/>
                <w:vertAlign w:val="subscript"/>
                <w:lang w:val="en-US"/>
              </w:rPr>
              <w:t>𝐶𝐻</w:t>
            </w:r>
            <w:r>
              <w:rPr>
                <w:rFonts w:eastAsia="Arial"/>
                <w:highlight w:val="none"/>
                <w:vertAlign w:val="subscript"/>
                <w:lang w:val="en-US"/>
              </w:rPr>
              <w:t>4</w:t>
            </w:r>
          </w:p>
        </w:tc>
        <w:tc>
          <w:tcPr>
            <w:tcW w:w="284" w:type="dxa"/>
            <w:tcBorders>
              <w:top w:val="nil"/>
              <w:left w:val="nil"/>
              <w:bottom w:val="nil"/>
              <w:right w:val="nil"/>
            </w:tcBorders>
            <w:tcMar>
              <w:top w:w="80" w:type="dxa"/>
              <w:left w:w="100" w:type="dxa"/>
              <w:bottom w:w="20" w:type="dxa"/>
              <w:right w:w="100" w:type="dxa"/>
            </w:tcMar>
          </w:tcPr>
          <w:p w14:paraId="0E5247AE">
            <w:pPr>
              <w:spacing w:before="0" w:after="0"/>
              <w:rPr>
                <w:highlight w:val="none"/>
                <w:lang w:val="en-US"/>
              </w:rPr>
            </w:pPr>
            <w:r>
              <w:rPr>
                <w:highlight w:val="none"/>
                <w:lang w:val="en-US"/>
              </w:rPr>
              <w:t>=</w:t>
            </w:r>
          </w:p>
        </w:tc>
        <w:tc>
          <w:tcPr>
            <w:tcW w:w="6946" w:type="dxa"/>
            <w:tcBorders>
              <w:top w:val="nil"/>
              <w:left w:val="nil"/>
              <w:bottom w:val="nil"/>
              <w:right w:val="nil"/>
            </w:tcBorders>
            <w:tcMar>
              <w:top w:w="80" w:type="dxa"/>
              <w:left w:w="100" w:type="dxa"/>
              <w:bottom w:w="20" w:type="dxa"/>
              <w:right w:w="100" w:type="dxa"/>
            </w:tcMar>
          </w:tcPr>
          <w:p w14:paraId="720DF9D6">
            <w:pPr>
              <w:spacing w:before="0" w:after="0"/>
              <w:rPr>
                <w:rFonts w:eastAsia="Arial"/>
                <w:highlight w:val="none"/>
                <w:lang w:val="en-US"/>
              </w:rPr>
            </w:pPr>
            <w:r>
              <w:rPr>
                <w:highlight w:val="none"/>
                <w:lang w:val="en-US"/>
              </w:rPr>
              <w:t>Global Warming Potential of CH</w:t>
            </w:r>
            <w:r>
              <w:rPr>
                <w:highlight w:val="none"/>
                <w:vertAlign w:val="subscript"/>
                <w:lang w:val="en-US"/>
              </w:rPr>
              <w:t>4</w:t>
            </w:r>
            <w:r>
              <w:rPr>
                <w:highlight w:val="none"/>
                <w:lang w:val="en-US"/>
              </w:rPr>
              <w:t xml:space="preserve"> (t CO</w:t>
            </w:r>
            <w:r>
              <w:rPr>
                <w:rFonts w:eastAsia="Arial"/>
                <w:highlight w:val="none"/>
                <w:vertAlign w:val="subscript"/>
                <w:lang w:val="en-US"/>
              </w:rPr>
              <w:t>2</w:t>
            </w:r>
            <w:r>
              <w:rPr>
                <w:rFonts w:eastAsia="Arial"/>
                <w:highlight w:val="none"/>
                <w:lang w:val="en-US"/>
              </w:rPr>
              <w:t>e / t CH</w:t>
            </w:r>
            <w:r>
              <w:rPr>
                <w:rFonts w:eastAsia="Arial"/>
                <w:highlight w:val="none"/>
                <w:vertAlign w:val="subscript"/>
                <w:lang w:val="en-US"/>
              </w:rPr>
              <w:t>4</w:t>
            </w:r>
            <w:r>
              <w:rPr>
                <w:rFonts w:eastAsia="Arial"/>
                <w:highlight w:val="none"/>
                <w:lang w:val="en-US"/>
              </w:rPr>
              <w:t>)</w:t>
            </w:r>
          </w:p>
        </w:tc>
      </w:tr>
    </w:tbl>
    <w:p w14:paraId="21C43456">
      <w:pPr>
        <w:spacing w:after="0"/>
        <w:rPr>
          <w:rFonts w:hint="default" w:eastAsia="Arial"/>
          <w:highlight w:val="none"/>
          <w:lang w:val="es-ES"/>
        </w:rPr>
      </w:pPr>
      <w:r>
        <w:rPr>
          <w:rFonts w:eastAsia="Arial"/>
          <w:highlight w:val="none"/>
          <w:lang w:val="en-US"/>
        </w:rPr>
        <w:t xml:space="preserve">As per option 2, the default value is used for emission factor of methane per tonne of waste; </w:t>
      </w:r>
      <w:r>
        <w:rPr>
          <w:rFonts w:ascii="Cambria Math" w:hAnsi="Cambria Math" w:eastAsia="Times New Roman" w:cs="Cambria Math"/>
          <w:highlight w:val="none"/>
          <w:lang w:val="en-US"/>
        </w:rPr>
        <w:t>𝐸𝐹</w:t>
      </w:r>
      <w:r>
        <w:rPr>
          <w:rFonts w:ascii="Cambria Math" w:hAnsi="Cambria Math" w:eastAsia="Times New Roman" w:cs="Cambria Math"/>
          <w:highlight w:val="none"/>
          <w:vertAlign w:val="subscript"/>
          <w:lang w:val="en-US"/>
        </w:rPr>
        <w:t>𝐶𝐻</w:t>
      </w:r>
      <w:r>
        <w:rPr>
          <w:rFonts w:eastAsia="Arial"/>
          <w:highlight w:val="none"/>
          <w:vertAlign w:val="subscript"/>
          <w:lang w:val="en-US"/>
        </w:rPr>
        <w:t xml:space="preserve">4, </w:t>
      </w:r>
      <w:r>
        <w:rPr>
          <w:rFonts w:eastAsia="Arial"/>
          <w:highlight w:val="none"/>
          <w:lang w:val="en-US"/>
        </w:rPr>
        <w:t xml:space="preserve">= </w:t>
      </w:r>
      <w:r>
        <w:rPr>
          <w:rFonts w:ascii="Cambria Math" w:hAnsi="Cambria Math" w:eastAsia="Times New Roman" w:cs="Cambria Math"/>
          <w:highlight w:val="none"/>
          <w:lang w:val="en-US"/>
        </w:rPr>
        <w:t>𝐸𝐹</w:t>
      </w:r>
      <w:r>
        <w:rPr>
          <w:rFonts w:ascii="Cambria Math" w:hAnsi="Cambria Math" w:eastAsia="Times New Roman" w:cs="Cambria Math"/>
          <w:highlight w:val="none"/>
          <w:vertAlign w:val="subscript"/>
          <w:lang w:val="en-US"/>
        </w:rPr>
        <w:t>𝐶𝐻</w:t>
      </w:r>
      <w:r>
        <w:rPr>
          <w:rFonts w:eastAsia="Arial"/>
          <w:highlight w:val="none"/>
          <w:vertAlign w:val="subscript"/>
          <w:lang w:val="en-US"/>
        </w:rPr>
        <w:t>4,</w:t>
      </w:r>
      <w:r>
        <w:rPr>
          <w:rFonts w:ascii="Cambria Math" w:hAnsi="Cambria Math" w:eastAsia="Times New Roman" w:cs="Cambria Math"/>
          <w:highlight w:val="none"/>
          <w:vertAlign w:val="subscript"/>
          <w:lang w:val="en-US"/>
        </w:rPr>
        <w:t>𝑒𝑓𝑎𝑢𝑙𝑡</w:t>
      </w:r>
      <w:r>
        <w:rPr>
          <w:rFonts w:eastAsia="Arial"/>
          <w:highlight w:val="none"/>
          <w:lang w:val="en-US"/>
        </w:rPr>
        <w:t xml:space="preserve"> = 0,002</w:t>
      </w:r>
      <w:r>
        <w:rPr>
          <w:rFonts w:hint="default" w:eastAsia="Arial"/>
          <w:highlight w:val="none"/>
          <w:lang w:val="es-ES"/>
        </w:rPr>
        <w:t xml:space="preserve"> </w:t>
      </w:r>
      <w:r>
        <w:rPr>
          <w:bCs/>
          <w:color w:val="000000" w:themeColor="text1"/>
          <w:highlight w:val="none"/>
          <w:lang w:val="en-US"/>
          <w14:textFill>
            <w14:solidFill>
              <w14:schemeClr w14:val="tx1"/>
            </w14:solidFill>
          </w14:textFill>
        </w:rPr>
        <w:t>(</w:t>
      </w:r>
      <w:r>
        <w:rPr>
          <w:rFonts w:hint="default" w:ascii="Arial Regular" w:hAnsi="Arial Regular" w:eastAsia="SimSun" w:cs="Arial Regular"/>
          <w:i w:val="0"/>
          <w:iCs w:val="0"/>
          <w:color w:val="000000"/>
          <w:kern w:val="0"/>
          <w:sz w:val="22"/>
          <w:szCs w:val="22"/>
          <w:highlight w:val="none"/>
          <w:u w:val="none"/>
          <w:lang w:val="es-ES" w:eastAsia="zh-CN" w:bidi="ar"/>
        </w:rPr>
        <w:t>t CO</w:t>
      </w:r>
      <w:r>
        <w:rPr>
          <w:rFonts w:hint="default" w:ascii="Arial Regular" w:hAnsi="Arial Regular" w:eastAsia="SimSun" w:cs="Arial Regular"/>
          <w:i w:val="0"/>
          <w:iCs w:val="0"/>
          <w:color w:val="000000"/>
          <w:kern w:val="0"/>
          <w:sz w:val="22"/>
          <w:szCs w:val="22"/>
          <w:highlight w:val="none"/>
          <w:u w:val="none"/>
          <w:vertAlign w:val="subscript"/>
          <w:lang w:val="es-ES" w:eastAsia="zh-CN" w:bidi="ar"/>
        </w:rPr>
        <w:t>2</w:t>
      </w:r>
      <w:r>
        <w:rPr>
          <w:rFonts w:hint="default" w:ascii="Arial Regular" w:hAnsi="Arial Regular" w:eastAsia="SimSun" w:cs="Arial Regular"/>
          <w:i w:val="0"/>
          <w:iCs w:val="0"/>
          <w:color w:val="000000"/>
          <w:kern w:val="0"/>
          <w:sz w:val="22"/>
          <w:szCs w:val="22"/>
          <w:highlight w:val="none"/>
          <w:u w:val="none"/>
          <w:vertAlign w:val="baseline"/>
          <w:lang w:val="es-ES" w:eastAsia="zh-CN" w:bidi="ar"/>
        </w:rPr>
        <w:t xml:space="preserve"> e /</w:t>
      </w:r>
      <w:r>
        <w:rPr>
          <w:rFonts w:eastAsia="Arial"/>
          <w:highlight w:val="none"/>
          <w:lang w:val="en-US"/>
        </w:rPr>
        <w:t>t CH</w:t>
      </w:r>
      <w:r>
        <w:rPr>
          <w:rFonts w:eastAsia="Arial"/>
          <w:highlight w:val="none"/>
          <w:vertAlign w:val="subscript"/>
          <w:lang w:val="en-US"/>
        </w:rPr>
        <w:t>4</w:t>
      </w:r>
      <w:r>
        <w:rPr>
          <w:bCs/>
          <w:color w:val="000000" w:themeColor="text1"/>
          <w:highlight w:val="none"/>
          <w:lang w:val="en-US"/>
          <w14:textFill>
            <w14:solidFill>
              <w14:schemeClr w14:val="tx1"/>
            </w14:solidFill>
          </w14:textFill>
        </w:rPr>
        <w:t>)</w:t>
      </w:r>
      <w:r>
        <w:rPr>
          <w:rFonts w:hint="default"/>
          <w:bCs/>
          <w:color w:val="000000" w:themeColor="text1"/>
          <w:highlight w:val="none"/>
          <w:lang w:val="es-ES"/>
          <w14:textFill>
            <w14:solidFill>
              <w14:schemeClr w14:val="tx1"/>
            </w14:solidFill>
          </w14:textFill>
        </w:rPr>
        <w:t>.</w:t>
      </w:r>
    </w:p>
    <w:p w14:paraId="6C53DE1C">
      <w:pPr>
        <w:spacing w:after="0"/>
        <w:rPr>
          <w:rFonts w:eastAsia="Arial"/>
          <w:highlight w:val="none"/>
          <w:lang w:val="en-US"/>
        </w:rPr>
      </w:pPr>
      <w:r>
        <w:rPr>
          <w:rFonts w:eastAsia="Arial"/>
          <w:highlight w:val="none"/>
          <w:lang w:val="en-US"/>
        </w:rPr>
        <w:t xml:space="preserve">Hence, the emissions of methane are as following: </w:t>
      </w:r>
    </w:p>
    <w:tbl>
      <w:tblPr>
        <w:tblStyle w:val="24"/>
        <w:tblW w:w="9020" w:type="dxa"/>
        <w:tblInd w:w="-3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1516"/>
        <w:gridCol w:w="1517"/>
        <w:gridCol w:w="1517"/>
        <w:gridCol w:w="1517"/>
        <w:gridCol w:w="1460"/>
      </w:tblGrid>
      <w:tr w14:paraId="04B610CD">
        <w:trPr>
          <w:trHeight w:val="320" w:hRule="atLeast"/>
        </w:trPr>
        <w:tc>
          <w:tcPr>
            <w:tcW w:w="1493" w:type="dxa"/>
            <w:noWrap/>
            <w:vAlign w:val="center"/>
          </w:tcPr>
          <w:p w14:paraId="64D47AC3">
            <w:pPr>
              <w:spacing w:before="0" w:after="0"/>
              <w:jc w:val="center"/>
              <w:rPr>
                <w:rFonts w:eastAsia="Arial"/>
                <w:highlight w:val="none"/>
                <w:u w:val="single"/>
                <w:lang w:val="en-US"/>
              </w:rPr>
            </w:pPr>
            <w:r>
              <w:rPr>
                <w:rFonts w:hint="default"/>
                <w:color w:val="000000" w:themeColor="text1"/>
                <w:highlight w:val="none"/>
                <w:lang w:val="es-ES"/>
                <w14:textFill>
                  <w14:solidFill>
                    <w14:schemeClr w14:val="tx1"/>
                  </w14:solidFill>
                </w14:textFill>
              </w:rPr>
              <w:t>YEAR</w:t>
            </w:r>
          </w:p>
        </w:tc>
        <w:tc>
          <w:tcPr>
            <w:tcW w:w="1516" w:type="dxa"/>
            <w:noWrap/>
            <w:vAlign w:val="center"/>
          </w:tcPr>
          <w:p w14:paraId="6E4FF284">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1</w:t>
            </w:r>
          </w:p>
          <w:p w14:paraId="1B5B5B7B">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/2018-31/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/2019</w:t>
            </w:r>
          </w:p>
        </w:tc>
        <w:tc>
          <w:tcPr>
            <w:tcW w:w="1517" w:type="dxa"/>
            <w:noWrap/>
            <w:vAlign w:val="center"/>
          </w:tcPr>
          <w:p w14:paraId="5C37FBCB">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2</w:t>
            </w:r>
          </w:p>
          <w:p w14:paraId="55518233">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/2019-31/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/2020</w:t>
            </w:r>
          </w:p>
        </w:tc>
        <w:tc>
          <w:tcPr>
            <w:tcW w:w="1517" w:type="dxa"/>
            <w:noWrap/>
            <w:vAlign w:val="center"/>
          </w:tcPr>
          <w:p w14:paraId="5E6A1CB2">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3</w:t>
            </w:r>
          </w:p>
          <w:p w14:paraId="02EEAA87">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/2020-31/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/2021</w:t>
            </w:r>
          </w:p>
        </w:tc>
        <w:tc>
          <w:tcPr>
            <w:tcW w:w="1517" w:type="dxa"/>
            <w:noWrap/>
            <w:vAlign w:val="center"/>
          </w:tcPr>
          <w:p w14:paraId="0D70A7C6">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4</w:t>
            </w:r>
          </w:p>
          <w:p w14:paraId="3CE83468">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/2021-31/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/2022</w:t>
            </w:r>
          </w:p>
        </w:tc>
        <w:tc>
          <w:tcPr>
            <w:tcW w:w="1460" w:type="dxa"/>
            <w:noWrap/>
            <w:vAlign w:val="center"/>
          </w:tcPr>
          <w:p w14:paraId="5068D61B">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5</w:t>
            </w:r>
          </w:p>
          <w:p w14:paraId="302C450F">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/2022-31/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/2023</w:t>
            </w:r>
          </w:p>
        </w:tc>
      </w:tr>
      <w:tr w14:paraId="7515B305">
        <w:trPr>
          <w:trHeight w:val="320" w:hRule="atLeast"/>
        </w:trPr>
        <w:tc>
          <w:tcPr>
            <w:tcW w:w="1493" w:type="dxa"/>
            <w:noWrap/>
          </w:tcPr>
          <w:p w14:paraId="731207E5">
            <w:pPr>
              <w:spacing w:before="0" w:after="0"/>
              <w:rPr>
                <w:rFonts w:hint="default" w:eastAsia="Arial"/>
                <w:b/>
                <w:bCs/>
                <w:highlight w:val="none"/>
                <w:vertAlign w:val="subscript"/>
                <w:lang w:val="es-ES"/>
              </w:rPr>
            </w:pPr>
            <w:r>
              <w:rPr>
                <w:rFonts w:eastAsia="Arial"/>
                <w:b/>
                <w:bCs/>
                <w:highlight w:val="none"/>
              </w:rPr>
              <w:t>PE</w:t>
            </w:r>
            <w:r>
              <w:rPr>
                <w:rFonts w:eastAsia="Arial"/>
                <w:b/>
                <w:bCs/>
                <w:highlight w:val="none"/>
                <w:vertAlign w:val="subscript"/>
              </w:rPr>
              <w:t>CH4,y</w:t>
            </w:r>
            <w:r>
              <w:rPr>
                <w:rFonts w:hint="default" w:eastAsia="Arial"/>
                <w:b/>
                <w:bCs/>
                <w:highlight w:val="none"/>
                <w:vertAlign w:val="subscript"/>
                <w:lang w:val="es-ES"/>
              </w:rPr>
              <w:t xml:space="preserve">     </w:t>
            </w:r>
          </w:p>
          <w:p w14:paraId="3EF760B1">
            <w:pPr>
              <w:spacing w:before="0" w:after="0"/>
              <w:rPr>
                <w:rFonts w:hint="default" w:eastAsia="Arial"/>
                <w:b/>
                <w:bCs/>
                <w:highlight w:val="none"/>
                <w:vertAlign w:val="baseline"/>
                <w:lang w:val="es-ES"/>
              </w:rPr>
            </w:pPr>
            <w:r>
              <w:rPr>
                <w:rFonts w:hint="default" w:eastAsia="Arial"/>
                <w:b/>
                <w:bCs/>
                <w:highlight w:val="none"/>
                <w:vertAlign w:val="baseline"/>
                <w:lang w:val="es-ES"/>
              </w:rPr>
              <w:t>(ton CO</w:t>
            </w:r>
            <w:r>
              <w:rPr>
                <w:rFonts w:hint="default" w:eastAsia="Arial"/>
                <w:b/>
                <w:bCs/>
                <w:highlight w:val="none"/>
                <w:vertAlign w:val="subscript"/>
                <w:lang w:val="es-ES"/>
              </w:rPr>
              <w:t>2</w:t>
            </w:r>
            <w:r>
              <w:rPr>
                <w:rFonts w:hint="default" w:eastAsia="Arial"/>
                <w:b/>
                <w:bCs/>
                <w:highlight w:val="none"/>
                <w:vertAlign w:val="baseline"/>
                <w:lang w:val="es-ES"/>
              </w:rPr>
              <w:t>e)</w:t>
            </w:r>
          </w:p>
        </w:tc>
        <w:tc>
          <w:tcPr>
            <w:tcW w:w="1516" w:type="dxa"/>
            <w:noWrap/>
            <w:vAlign w:val="bottom"/>
          </w:tcPr>
          <w:p w14:paraId="3224B4EA">
            <w:pPr>
              <w:spacing w:before="0" w:after="0"/>
              <w:rPr>
                <w:rFonts w:hint="default" w:eastAsia="Arial"/>
                <w:highlight w:val="none"/>
                <w:lang w:val="es-ES"/>
              </w:rPr>
            </w:pPr>
            <w:r>
              <w:rPr>
                <w:rFonts w:hint="default" w:ascii="Calibri" w:hAnsi="Calibri" w:cs="Calibri"/>
                <w:color w:val="000000"/>
                <w:highlight w:val="none"/>
                <w:lang w:val="es-ES"/>
              </w:rPr>
              <w:t>674</w:t>
            </w:r>
          </w:p>
        </w:tc>
        <w:tc>
          <w:tcPr>
            <w:tcW w:w="1517" w:type="dxa"/>
            <w:noWrap/>
            <w:vAlign w:val="bottom"/>
          </w:tcPr>
          <w:p w14:paraId="35D874A4">
            <w:pPr>
              <w:spacing w:before="0" w:after="0"/>
              <w:rPr>
                <w:rFonts w:hint="default" w:eastAsia="Arial"/>
                <w:highlight w:val="none"/>
                <w:lang w:val="es-ES"/>
              </w:rPr>
            </w:pPr>
            <w:r>
              <w:rPr>
                <w:rFonts w:hint="default" w:ascii="Calibri" w:hAnsi="Calibri" w:cs="Calibri"/>
                <w:color w:val="000000"/>
                <w:highlight w:val="none"/>
                <w:lang w:val="es-ES"/>
              </w:rPr>
              <w:t>925</w:t>
            </w:r>
          </w:p>
        </w:tc>
        <w:tc>
          <w:tcPr>
            <w:tcW w:w="1517" w:type="dxa"/>
            <w:noWrap/>
            <w:vAlign w:val="bottom"/>
          </w:tcPr>
          <w:p w14:paraId="3C92A9D5">
            <w:pPr>
              <w:spacing w:before="0" w:after="0"/>
              <w:rPr>
                <w:rFonts w:hint="default" w:eastAsia="Arial"/>
                <w:highlight w:val="none"/>
                <w:lang w:val="es-ES"/>
              </w:rPr>
            </w:pPr>
            <w:r>
              <w:rPr>
                <w:rFonts w:hint="default" w:ascii="Calibri" w:hAnsi="Calibri" w:cs="Calibri"/>
                <w:color w:val="000000"/>
                <w:highlight w:val="none"/>
                <w:lang w:val="es-ES"/>
              </w:rPr>
              <w:t>778</w:t>
            </w:r>
          </w:p>
        </w:tc>
        <w:tc>
          <w:tcPr>
            <w:tcW w:w="1517" w:type="dxa"/>
            <w:noWrap/>
            <w:vAlign w:val="bottom"/>
          </w:tcPr>
          <w:p w14:paraId="4EC69E8E">
            <w:pPr>
              <w:spacing w:before="0" w:after="0"/>
              <w:rPr>
                <w:rFonts w:hint="default" w:eastAsia="Arial"/>
                <w:highlight w:val="none"/>
                <w:lang w:val="es-ES"/>
              </w:rPr>
            </w:pPr>
            <w:r>
              <w:rPr>
                <w:rFonts w:hint="default" w:ascii="Calibri" w:hAnsi="Calibri" w:cs="Calibri"/>
                <w:color w:val="000000"/>
                <w:highlight w:val="none"/>
                <w:lang w:val="es-ES"/>
              </w:rPr>
              <w:t>940</w:t>
            </w:r>
          </w:p>
        </w:tc>
        <w:tc>
          <w:tcPr>
            <w:tcW w:w="1460" w:type="dxa"/>
            <w:noWrap/>
            <w:vAlign w:val="bottom"/>
          </w:tcPr>
          <w:p w14:paraId="22DD3BED">
            <w:pPr>
              <w:spacing w:before="0" w:after="0"/>
              <w:rPr>
                <w:rFonts w:hint="default" w:eastAsia="Arial"/>
                <w:highlight w:val="none"/>
                <w:lang w:val="es-ES"/>
              </w:rPr>
            </w:pPr>
            <w:r>
              <w:rPr>
                <w:rFonts w:hint="default" w:ascii="Calibri" w:hAnsi="Calibri" w:cs="Calibri"/>
                <w:color w:val="000000"/>
                <w:highlight w:val="none"/>
                <w:lang w:val="es-ES"/>
              </w:rPr>
              <w:t>906</w:t>
            </w:r>
          </w:p>
        </w:tc>
      </w:tr>
    </w:tbl>
    <w:p w14:paraId="0DD30481">
      <w:pPr>
        <w:spacing w:after="0"/>
        <w:rPr>
          <w:rFonts w:eastAsia="Arial"/>
          <w:highlight w:val="none"/>
          <w:lang w:val="en-US"/>
        </w:rPr>
      </w:pPr>
    </w:p>
    <w:p w14:paraId="3F2BA0F1">
      <w:pPr>
        <w:spacing w:after="0"/>
        <w:rPr>
          <w:rFonts w:eastAsia="Arial"/>
          <w:highlight w:val="none"/>
          <w:u w:val="single"/>
          <w:lang w:val="en-US"/>
        </w:rPr>
      </w:pPr>
      <w:r>
        <w:rPr>
          <w:rFonts w:eastAsia="Arial"/>
          <w:highlight w:val="none"/>
          <w:u w:val="single"/>
          <w:lang w:val="en-US"/>
        </w:rPr>
        <w:t>Determination of project emissions of nitrous oxide (PE</w:t>
      </w:r>
      <w:r>
        <w:rPr>
          <w:rFonts w:eastAsia="Arial"/>
          <w:highlight w:val="none"/>
          <w:u w:val="single"/>
          <w:vertAlign w:val="subscript"/>
          <w:lang w:val="en-US"/>
        </w:rPr>
        <w:t>N2O,y</w:t>
      </w:r>
      <w:r>
        <w:rPr>
          <w:rFonts w:eastAsia="Arial"/>
          <w:highlight w:val="none"/>
          <w:u w:val="single"/>
          <w:lang w:val="en-US"/>
        </w:rPr>
        <w:t>)</w:t>
      </w:r>
    </w:p>
    <w:p w14:paraId="4E2E8A4B">
      <w:pPr>
        <w:spacing w:after="0"/>
        <w:rPr>
          <w:rFonts w:eastAsia="Arial"/>
          <w:iCs/>
          <w:highlight w:val="none"/>
          <w:lang w:val="en-US"/>
        </w:rPr>
      </w:pPr>
      <w:r>
        <w:rPr>
          <w:rFonts w:eastAsia="Arial"/>
          <w:iCs/>
          <w:highlight w:val="none"/>
          <w:lang w:val="en-US"/>
        </w:rPr>
        <w:t>As per para 26 of the tool, project emissions of nitrous oxide from composting are determined as follows:</w:t>
      </w:r>
    </w:p>
    <w:p w14:paraId="5C510842">
      <w:pPr>
        <w:spacing w:before="0" w:after="0"/>
        <w:ind w:firstLine="708"/>
        <w:rPr>
          <w:rFonts w:eastAsia="Times New Roman"/>
          <w:highlight w:val="none"/>
          <w:vertAlign w:val="subscript"/>
          <w:lang w:val="en-US"/>
        </w:rPr>
      </w:pPr>
      <w:r>
        <w:rPr>
          <w:rFonts w:ascii="Cambria Math" w:hAnsi="Cambria Math" w:eastAsia="Times New Roman" w:cs="Cambria Math"/>
          <w:highlight w:val="none"/>
          <w:lang w:val="en-US"/>
        </w:rPr>
        <w:t>𝑃𝐸</w:t>
      </w:r>
      <w:r>
        <w:rPr>
          <w:rFonts w:eastAsia="Times New Roman"/>
          <w:highlight w:val="none"/>
          <w:vertAlign w:val="subscript"/>
          <w:lang w:val="en-US"/>
        </w:rPr>
        <w:t>N20</w:t>
      </w:r>
      <w:r>
        <w:rPr>
          <w:rFonts w:eastAsia="Arial"/>
          <w:highlight w:val="none"/>
          <w:vertAlign w:val="subscript"/>
          <w:lang w:val="en-US"/>
        </w:rPr>
        <w:t xml:space="preserve">,y </w:t>
      </w:r>
      <w:r>
        <w:rPr>
          <w:rFonts w:eastAsia="Arial"/>
          <w:highlight w:val="none"/>
          <w:lang w:val="en-US"/>
        </w:rPr>
        <w:t xml:space="preserve">= </w:t>
      </w:r>
      <w:r>
        <w:rPr>
          <w:rFonts w:ascii="Cambria Math" w:hAnsi="Cambria Math" w:eastAsia="Times New Roman" w:cs="Cambria Math"/>
          <w:highlight w:val="none"/>
          <w:lang w:val="en-US"/>
        </w:rPr>
        <w:t>𝑄</w:t>
      </w:r>
      <w:r>
        <w:rPr>
          <w:rFonts w:ascii="Cambria Math" w:hAnsi="Cambria Math" w:eastAsia="Times New Roman" w:cs="Cambria Math"/>
          <w:highlight w:val="none"/>
          <w:vertAlign w:val="subscript"/>
          <w:lang w:val="en-US"/>
        </w:rPr>
        <w:t>𝑦</w:t>
      </w:r>
      <w:r>
        <w:rPr>
          <w:rFonts w:eastAsia="Arial"/>
          <w:highlight w:val="none"/>
          <w:lang w:val="en-US"/>
        </w:rPr>
        <w:t xml:space="preserve"> × </w:t>
      </w:r>
      <w:r>
        <w:rPr>
          <w:rFonts w:ascii="Cambria Math" w:hAnsi="Cambria Math" w:eastAsia="Times New Roman" w:cs="Cambria Math"/>
          <w:highlight w:val="none"/>
          <w:lang w:val="en-US"/>
        </w:rPr>
        <w:t>𝐸𝐹</w:t>
      </w:r>
      <w:r>
        <w:rPr>
          <w:rFonts w:eastAsia="Times New Roman"/>
          <w:highlight w:val="none"/>
          <w:vertAlign w:val="subscript"/>
          <w:lang w:val="en-US"/>
        </w:rPr>
        <w:t>N20</w:t>
      </w:r>
      <w:r>
        <w:rPr>
          <w:rFonts w:eastAsia="Arial"/>
          <w:highlight w:val="none"/>
          <w:vertAlign w:val="subscript"/>
          <w:lang w:val="en-US"/>
        </w:rPr>
        <w:t xml:space="preserve">,y </w:t>
      </w:r>
      <w:r>
        <w:rPr>
          <w:rFonts w:eastAsia="Arial"/>
          <w:highlight w:val="none"/>
          <w:lang w:val="en-US"/>
        </w:rPr>
        <w:t xml:space="preserve">× </w:t>
      </w:r>
      <w:r>
        <w:rPr>
          <w:rFonts w:ascii="Cambria Math" w:hAnsi="Cambria Math" w:eastAsia="Times New Roman" w:cs="Cambria Math"/>
          <w:highlight w:val="none"/>
          <w:lang w:val="en-US"/>
        </w:rPr>
        <w:t>𝐺𝑊𝑃</w:t>
      </w:r>
      <w:r>
        <w:rPr>
          <w:rFonts w:eastAsia="Times New Roman"/>
          <w:highlight w:val="none"/>
          <w:vertAlign w:val="subscript"/>
          <w:lang w:val="en-US"/>
        </w:rPr>
        <w:t>N20</w:t>
      </w:r>
    </w:p>
    <w:p w14:paraId="0096EBB4">
      <w:pPr>
        <w:spacing w:after="0"/>
        <w:rPr>
          <w:rFonts w:eastAsia="Times New Roman"/>
          <w:highlight w:val="none"/>
          <w:lang w:val="en-US"/>
        </w:rPr>
      </w:pPr>
      <w:r>
        <w:rPr>
          <w:rFonts w:eastAsia="Times New Roman"/>
          <w:highlight w:val="none"/>
          <w:lang w:val="en-US"/>
        </w:rPr>
        <w:t>Where:</w:t>
      </w:r>
    </w:p>
    <w:tbl>
      <w:tblPr>
        <w:tblStyle w:val="12"/>
        <w:tblW w:w="85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3"/>
        <w:gridCol w:w="283"/>
        <w:gridCol w:w="7229"/>
      </w:tblGrid>
      <w:tr w14:paraId="679E4C09">
        <w:trPr>
          <w:trHeight w:val="397" w:hRule="atLeast"/>
        </w:trPr>
        <w:tc>
          <w:tcPr>
            <w:tcW w:w="993" w:type="dxa"/>
            <w:tcBorders>
              <w:top w:val="nil"/>
              <w:left w:val="nil"/>
              <w:bottom w:val="nil"/>
              <w:right w:val="nil"/>
            </w:tcBorders>
            <w:tcMar>
              <w:top w:w="80" w:type="dxa"/>
              <w:left w:w="100" w:type="dxa"/>
              <w:bottom w:w="20" w:type="dxa"/>
              <w:right w:w="100" w:type="dxa"/>
            </w:tcMar>
          </w:tcPr>
          <w:p w14:paraId="33040CCF">
            <w:pPr>
              <w:spacing w:before="0" w:after="0"/>
              <w:jc w:val="right"/>
              <w:rPr>
                <w:rFonts w:eastAsia="Times New Roman"/>
                <w:highlight w:val="none"/>
                <w:vertAlign w:val="subscript"/>
                <w:lang w:val="en-US"/>
              </w:rPr>
            </w:pPr>
            <w:r>
              <w:rPr>
                <w:rFonts w:eastAsia="Arial"/>
                <w:highlight w:val="none"/>
                <w:vertAlign w:val="subscript"/>
                <w:lang w:val="en-US"/>
              </w:rPr>
              <w:t xml:space="preserve"> </w:t>
            </w:r>
            <w:r>
              <w:rPr>
                <w:rFonts w:ascii="Cambria Math" w:hAnsi="Cambria Math" w:eastAsia="Times New Roman" w:cs="Cambria Math"/>
                <w:highlight w:val="none"/>
                <w:lang w:val="en-US"/>
              </w:rPr>
              <w:t>𝑃𝐸</w:t>
            </w:r>
            <w:r>
              <w:rPr>
                <w:rFonts w:eastAsia="Times New Roman"/>
                <w:highlight w:val="none"/>
                <w:vertAlign w:val="subscript"/>
                <w:lang w:val="en-US"/>
              </w:rPr>
              <w:t>N2O</w:t>
            </w:r>
            <w:r>
              <w:rPr>
                <w:rFonts w:eastAsia="Arial"/>
                <w:highlight w:val="none"/>
                <w:vertAlign w:val="subscript"/>
                <w:lang w:val="en-US"/>
              </w:rPr>
              <w:t>,</w:t>
            </w:r>
            <w:r>
              <w:rPr>
                <w:rFonts w:ascii="Cambria Math" w:hAnsi="Cambria Math" w:eastAsia="Times New Roman" w:cs="Cambria Math"/>
                <w:highlight w:val="none"/>
                <w:vertAlign w:val="subscript"/>
                <w:lang w:val="en-US"/>
              </w:rPr>
              <w:t>𝑦</w:t>
            </w:r>
          </w:p>
        </w:tc>
        <w:tc>
          <w:tcPr>
            <w:tcW w:w="283" w:type="dxa"/>
            <w:tcBorders>
              <w:top w:val="nil"/>
              <w:left w:val="nil"/>
              <w:bottom w:val="nil"/>
              <w:right w:val="nil"/>
            </w:tcBorders>
            <w:tcMar>
              <w:top w:w="80" w:type="dxa"/>
              <w:left w:w="100" w:type="dxa"/>
              <w:bottom w:w="20" w:type="dxa"/>
              <w:right w:w="100" w:type="dxa"/>
            </w:tcMar>
          </w:tcPr>
          <w:p w14:paraId="4ABBD0E0">
            <w:pPr>
              <w:spacing w:before="0" w:after="0"/>
              <w:rPr>
                <w:highlight w:val="none"/>
                <w:lang w:val="en-US"/>
              </w:rPr>
            </w:pPr>
            <w:r>
              <w:rPr>
                <w:highlight w:val="none"/>
                <w:lang w:val="en-US"/>
              </w:rPr>
              <w:t>=</w:t>
            </w:r>
          </w:p>
        </w:tc>
        <w:tc>
          <w:tcPr>
            <w:tcW w:w="7229" w:type="dxa"/>
            <w:tcBorders>
              <w:top w:val="nil"/>
              <w:left w:val="nil"/>
              <w:bottom w:val="nil"/>
              <w:right w:val="nil"/>
            </w:tcBorders>
            <w:tcMar>
              <w:top w:w="80" w:type="dxa"/>
              <w:left w:w="100" w:type="dxa"/>
              <w:bottom w:w="20" w:type="dxa"/>
              <w:right w:w="100" w:type="dxa"/>
            </w:tcMar>
          </w:tcPr>
          <w:p w14:paraId="39FA69A5">
            <w:pPr>
              <w:spacing w:before="0" w:after="0"/>
              <w:rPr>
                <w:rFonts w:eastAsia="Arial"/>
                <w:highlight w:val="none"/>
                <w:lang w:val="en-US"/>
              </w:rPr>
            </w:pPr>
            <w:r>
              <w:rPr>
                <w:highlight w:val="none"/>
                <w:lang w:val="en-US"/>
              </w:rPr>
              <w:t>Project emissions of N</w:t>
            </w:r>
            <w:r>
              <w:rPr>
                <w:rFonts w:eastAsia="Arial"/>
                <w:highlight w:val="none"/>
                <w:vertAlign w:val="subscript"/>
                <w:lang w:val="en-US"/>
              </w:rPr>
              <w:t>2</w:t>
            </w:r>
            <w:r>
              <w:rPr>
                <w:rFonts w:eastAsia="Arial"/>
                <w:highlight w:val="none"/>
                <w:lang w:val="en-US"/>
              </w:rPr>
              <w:t>O from the composting process in year y (t CO</w:t>
            </w:r>
            <w:r>
              <w:rPr>
                <w:rFonts w:eastAsia="Arial"/>
                <w:highlight w:val="none"/>
                <w:vertAlign w:val="subscript"/>
                <w:lang w:val="en-US"/>
              </w:rPr>
              <w:t>2</w:t>
            </w:r>
            <w:r>
              <w:rPr>
                <w:rFonts w:eastAsia="Arial"/>
                <w:highlight w:val="none"/>
                <w:lang w:val="en-US"/>
              </w:rPr>
              <w:t>e/yr)</w:t>
            </w:r>
          </w:p>
        </w:tc>
      </w:tr>
      <w:tr w14:paraId="29D8534D">
        <w:trPr>
          <w:trHeight w:val="19" w:hRule="atLeast"/>
        </w:trPr>
        <w:tc>
          <w:tcPr>
            <w:tcW w:w="993" w:type="dxa"/>
            <w:tcBorders>
              <w:top w:val="nil"/>
              <w:left w:val="nil"/>
              <w:bottom w:val="nil"/>
              <w:right w:val="nil"/>
            </w:tcBorders>
            <w:tcMar>
              <w:top w:w="80" w:type="dxa"/>
              <w:left w:w="100" w:type="dxa"/>
              <w:bottom w:w="20" w:type="dxa"/>
              <w:right w:w="100" w:type="dxa"/>
            </w:tcMar>
          </w:tcPr>
          <w:p w14:paraId="66EA267F">
            <w:pPr>
              <w:spacing w:before="0" w:after="0"/>
              <w:jc w:val="right"/>
              <w:rPr>
                <w:rFonts w:eastAsia="Times New Roman"/>
                <w:highlight w:val="none"/>
                <w:vertAlign w:val="subscript"/>
                <w:lang w:val="en-US"/>
              </w:rPr>
            </w:pPr>
            <w:r>
              <w:rPr>
                <w:rFonts w:ascii="Cambria Math" w:hAnsi="Cambria Math" w:eastAsia="Times New Roman" w:cs="Cambria Math"/>
                <w:highlight w:val="none"/>
                <w:lang w:val="en-US"/>
              </w:rPr>
              <w:t>𝑄</w:t>
            </w:r>
            <w:r>
              <w:rPr>
                <w:rFonts w:ascii="Cambria Math" w:hAnsi="Cambria Math" w:eastAsia="Times New Roman" w:cs="Cambria Math"/>
                <w:highlight w:val="none"/>
                <w:vertAlign w:val="subscript"/>
                <w:lang w:val="en-US"/>
              </w:rPr>
              <w:t>𝑦</w:t>
            </w:r>
          </w:p>
        </w:tc>
        <w:tc>
          <w:tcPr>
            <w:tcW w:w="283" w:type="dxa"/>
            <w:tcBorders>
              <w:top w:val="nil"/>
              <w:left w:val="nil"/>
              <w:bottom w:val="nil"/>
              <w:right w:val="nil"/>
            </w:tcBorders>
            <w:tcMar>
              <w:top w:w="80" w:type="dxa"/>
              <w:left w:w="100" w:type="dxa"/>
              <w:bottom w:w="20" w:type="dxa"/>
              <w:right w:w="100" w:type="dxa"/>
            </w:tcMar>
          </w:tcPr>
          <w:p w14:paraId="1EEDB8BA">
            <w:pPr>
              <w:spacing w:before="0" w:after="0"/>
              <w:rPr>
                <w:highlight w:val="none"/>
                <w:lang w:val="en-US"/>
              </w:rPr>
            </w:pPr>
            <w:r>
              <w:rPr>
                <w:highlight w:val="none"/>
                <w:lang w:val="en-US"/>
              </w:rPr>
              <w:t>=</w:t>
            </w:r>
          </w:p>
        </w:tc>
        <w:tc>
          <w:tcPr>
            <w:tcW w:w="7229" w:type="dxa"/>
            <w:tcBorders>
              <w:top w:val="nil"/>
              <w:left w:val="nil"/>
              <w:bottom w:val="nil"/>
              <w:right w:val="nil"/>
            </w:tcBorders>
            <w:tcMar>
              <w:top w:w="80" w:type="dxa"/>
              <w:left w:w="100" w:type="dxa"/>
              <w:bottom w:w="20" w:type="dxa"/>
              <w:right w:w="100" w:type="dxa"/>
            </w:tcMar>
          </w:tcPr>
          <w:p w14:paraId="01695470">
            <w:pPr>
              <w:spacing w:before="0" w:after="0"/>
              <w:rPr>
                <w:highlight w:val="none"/>
                <w:lang w:val="en-US"/>
              </w:rPr>
            </w:pPr>
            <w:r>
              <w:rPr>
                <w:highlight w:val="none"/>
                <w:lang w:val="en-US"/>
              </w:rPr>
              <w:t>Quantity of waste composted in year y (t /yr)</w:t>
            </w:r>
          </w:p>
        </w:tc>
      </w:tr>
      <w:tr w14:paraId="054CB8C5">
        <w:trPr>
          <w:trHeight w:val="171" w:hRule="atLeast"/>
        </w:trPr>
        <w:tc>
          <w:tcPr>
            <w:tcW w:w="993" w:type="dxa"/>
            <w:tcBorders>
              <w:top w:val="nil"/>
              <w:left w:val="nil"/>
              <w:bottom w:val="nil"/>
              <w:right w:val="nil"/>
            </w:tcBorders>
            <w:tcMar>
              <w:top w:w="80" w:type="dxa"/>
              <w:left w:w="100" w:type="dxa"/>
              <w:bottom w:w="20" w:type="dxa"/>
              <w:right w:w="100" w:type="dxa"/>
            </w:tcMar>
          </w:tcPr>
          <w:p w14:paraId="628F6AE3">
            <w:pPr>
              <w:spacing w:before="0" w:after="0"/>
              <w:jc w:val="right"/>
              <w:rPr>
                <w:rFonts w:eastAsia="Times New Roman"/>
                <w:highlight w:val="none"/>
                <w:vertAlign w:val="subscript"/>
                <w:lang w:val="en-US"/>
              </w:rPr>
            </w:pPr>
            <w:r>
              <w:rPr>
                <w:rFonts w:ascii="Cambria Math" w:hAnsi="Cambria Math" w:eastAsia="Times New Roman" w:cs="Cambria Math"/>
                <w:highlight w:val="none"/>
                <w:lang w:val="en-US"/>
              </w:rPr>
              <w:t>𝐸𝐹</w:t>
            </w:r>
            <w:r>
              <w:rPr>
                <w:rFonts w:eastAsia="Times New Roman"/>
                <w:highlight w:val="none"/>
                <w:vertAlign w:val="subscript"/>
                <w:lang w:val="en-US"/>
              </w:rPr>
              <w:t>N2O</w:t>
            </w:r>
            <w:r>
              <w:rPr>
                <w:rFonts w:eastAsia="Arial"/>
                <w:highlight w:val="none"/>
                <w:vertAlign w:val="subscript"/>
                <w:lang w:val="en-US"/>
              </w:rPr>
              <w:t>,</w:t>
            </w:r>
            <w:r>
              <w:rPr>
                <w:rFonts w:ascii="Cambria Math" w:hAnsi="Cambria Math" w:eastAsia="Times New Roman" w:cs="Cambria Math"/>
                <w:highlight w:val="none"/>
                <w:vertAlign w:val="subscript"/>
                <w:lang w:val="en-US"/>
              </w:rPr>
              <w:t>𝑦</w:t>
            </w:r>
          </w:p>
        </w:tc>
        <w:tc>
          <w:tcPr>
            <w:tcW w:w="283" w:type="dxa"/>
            <w:tcBorders>
              <w:top w:val="nil"/>
              <w:left w:val="nil"/>
              <w:bottom w:val="nil"/>
              <w:right w:val="nil"/>
            </w:tcBorders>
            <w:tcMar>
              <w:top w:w="80" w:type="dxa"/>
              <w:left w:w="100" w:type="dxa"/>
              <w:bottom w:w="20" w:type="dxa"/>
              <w:right w:w="100" w:type="dxa"/>
            </w:tcMar>
          </w:tcPr>
          <w:p w14:paraId="28CD708C">
            <w:pPr>
              <w:spacing w:before="0" w:after="0"/>
              <w:rPr>
                <w:highlight w:val="none"/>
                <w:lang w:val="en-US"/>
              </w:rPr>
            </w:pPr>
            <w:r>
              <w:rPr>
                <w:highlight w:val="none"/>
                <w:lang w:val="en-US"/>
              </w:rPr>
              <w:t>=</w:t>
            </w:r>
          </w:p>
        </w:tc>
        <w:tc>
          <w:tcPr>
            <w:tcW w:w="7229" w:type="dxa"/>
            <w:tcBorders>
              <w:top w:val="nil"/>
              <w:left w:val="nil"/>
              <w:bottom w:val="nil"/>
              <w:right w:val="nil"/>
            </w:tcBorders>
            <w:tcMar>
              <w:top w:w="80" w:type="dxa"/>
              <w:left w:w="100" w:type="dxa"/>
              <w:bottom w:w="20" w:type="dxa"/>
              <w:right w:w="100" w:type="dxa"/>
            </w:tcMar>
          </w:tcPr>
          <w:p w14:paraId="789D9229">
            <w:pPr>
              <w:spacing w:before="0" w:after="0"/>
              <w:rPr>
                <w:rFonts w:eastAsia="Arial"/>
                <w:highlight w:val="none"/>
                <w:lang w:val="en-US"/>
              </w:rPr>
            </w:pPr>
            <w:r>
              <w:rPr>
                <w:highlight w:val="none"/>
                <w:lang w:val="en-US"/>
              </w:rPr>
              <w:t>Emission factor of N</w:t>
            </w:r>
            <w:r>
              <w:rPr>
                <w:rFonts w:eastAsia="Arial"/>
                <w:highlight w:val="none"/>
                <w:vertAlign w:val="subscript"/>
                <w:lang w:val="en-US"/>
              </w:rPr>
              <w:t>2</w:t>
            </w:r>
            <w:r>
              <w:rPr>
                <w:rFonts w:eastAsia="Arial"/>
                <w:highlight w:val="none"/>
                <w:lang w:val="en-US"/>
              </w:rPr>
              <w:t>O per tonne of waste composted valid for year y (t N</w:t>
            </w:r>
            <w:r>
              <w:rPr>
                <w:rFonts w:eastAsia="Arial"/>
                <w:highlight w:val="none"/>
                <w:vertAlign w:val="subscript"/>
                <w:lang w:val="en-US"/>
              </w:rPr>
              <w:t>2</w:t>
            </w:r>
            <w:r>
              <w:rPr>
                <w:rFonts w:eastAsia="Arial"/>
                <w:highlight w:val="none"/>
                <w:lang w:val="en-US"/>
              </w:rPr>
              <w:t>O/t)</w:t>
            </w:r>
          </w:p>
        </w:tc>
      </w:tr>
      <w:tr w14:paraId="63836C52">
        <w:trPr>
          <w:trHeight w:val="23" w:hRule="atLeast"/>
        </w:trPr>
        <w:tc>
          <w:tcPr>
            <w:tcW w:w="993" w:type="dxa"/>
            <w:tcBorders>
              <w:top w:val="nil"/>
              <w:left w:val="nil"/>
              <w:bottom w:val="nil"/>
              <w:right w:val="nil"/>
            </w:tcBorders>
            <w:tcMar>
              <w:top w:w="80" w:type="dxa"/>
              <w:left w:w="100" w:type="dxa"/>
              <w:bottom w:w="20" w:type="dxa"/>
              <w:right w:w="100" w:type="dxa"/>
            </w:tcMar>
          </w:tcPr>
          <w:p w14:paraId="0AFCABA2">
            <w:pPr>
              <w:spacing w:before="0" w:after="0"/>
              <w:jc w:val="right"/>
              <w:rPr>
                <w:rFonts w:eastAsia="Times New Roman"/>
                <w:highlight w:val="none"/>
                <w:vertAlign w:val="subscript"/>
                <w:lang w:val="en-US"/>
              </w:rPr>
            </w:pPr>
            <w:r>
              <w:rPr>
                <w:rFonts w:ascii="Cambria Math" w:hAnsi="Cambria Math" w:eastAsia="Times New Roman" w:cs="Cambria Math"/>
                <w:highlight w:val="none"/>
                <w:lang w:val="en-US"/>
              </w:rPr>
              <w:t>𝐺𝑊𝑃</w:t>
            </w:r>
            <w:r>
              <w:rPr>
                <w:rFonts w:eastAsia="Times New Roman"/>
                <w:highlight w:val="none"/>
                <w:vertAlign w:val="subscript"/>
                <w:lang w:val="en-US"/>
              </w:rPr>
              <w:t>N2O</w:t>
            </w:r>
          </w:p>
        </w:tc>
        <w:tc>
          <w:tcPr>
            <w:tcW w:w="283" w:type="dxa"/>
            <w:tcBorders>
              <w:top w:val="nil"/>
              <w:left w:val="nil"/>
              <w:bottom w:val="nil"/>
              <w:right w:val="nil"/>
            </w:tcBorders>
            <w:tcMar>
              <w:top w:w="80" w:type="dxa"/>
              <w:left w:w="100" w:type="dxa"/>
              <w:bottom w:w="20" w:type="dxa"/>
              <w:right w:w="100" w:type="dxa"/>
            </w:tcMar>
          </w:tcPr>
          <w:p w14:paraId="7C84A3B4">
            <w:pPr>
              <w:spacing w:before="0" w:after="0"/>
              <w:rPr>
                <w:highlight w:val="none"/>
                <w:lang w:val="en-US"/>
              </w:rPr>
            </w:pPr>
            <w:r>
              <w:rPr>
                <w:highlight w:val="none"/>
                <w:lang w:val="en-US"/>
              </w:rPr>
              <w:t>=</w:t>
            </w:r>
          </w:p>
        </w:tc>
        <w:tc>
          <w:tcPr>
            <w:tcW w:w="7229" w:type="dxa"/>
            <w:tcBorders>
              <w:top w:val="nil"/>
              <w:left w:val="nil"/>
              <w:bottom w:val="nil"/>
              <w:right w:val="nil"/>
            </w:tcBorders>
            <w:tcMar>
              <w:top w:w="80" w:type="dxa"/>
              <w:left w:w="100" w:type="dxa"/>
              <w:bottom w:w="20" w:type="dxa"/>
              <w:right w:w="100" w:type="dxa"/>
            </w:tcMar>
          </w:tcPr>
          <w:p w14:paraId="5A048CF2">
            <w:pPr>
              <w:spacing w:before="0" w:after="0"/>
              <w:rPr>
                <w:rFonts w:eastAsia="Arial"/>
                <w:highlight w:val="none"/>
                <w:lang w:val="en-US"/>
              </w:rPr>
            </w:pPr>
            <w:r>
              <w:rPr>
                <w:highlight w:val="none"/>
                <w:lang w:val="en-US"/>
              </w:rPr>
              <w:t>Global Warming Potential of N</w:t>
            </w:r>
            <w:r>
              <w:rPr>
                <w:rFonts w:eastAsia="Arial"/>
                <w:highlight w:val="none"/>
                <w:vertAlign w:val="subscript"/>
                <w:lang w:val="en-US"/>
              </w:rPr>
              <w:t>2</w:t>
            </w:r>
            <w:r>
              <w:rPr>
                <w:rFonts w:eastAsia="Arial"/>
                <w:highlight w:val="none"/>
                <w:lang w:val="en-US"/>
              </w:rPr>
              <w:t>O (t CO</w:t>
            </w:r>
            <w:r>
              <w:rPr>
                <w:rFonts w:eastAsia="Arial"/>
                <w:highlight w:val="none"/>
                <w:vertAlign w:val="subscript"/>
                <w:lang w:val="en-US"/>
              </w:rPr>
              <w:t>2</w:t>
            </w:r>
            <w:r>
              <w:rPr>
                <w:rFonts w:eastAsia="Arial"/>
                <w:highlight w:val="none"/>
                <w:lang w:val="en-US"/>
              </w:rPr>
              <w:t>e / t N</w:t>
            </w:r>
            <w:r>
              <w:rPr>
                <w:rFonts w:eastAsia="Arial"/>
                <w:highlight w:val="none"/>
                <w:vertAlign w:val="subscript"/>
                <w:lang w:val="en-US"/>
              </w:rPr>
              <w:t>2</w:t>
            </w:r>
            <w:r>
              <w:rPr>
                <w:rFonts w:eastAsia="Arial"/>
                <w:highlight w:val="none"/>
                <w:lang w:val="en-US"/>
              </w:rPr>
              <w:t>O)</w:t>
            </w:r>
          </w:p>
        </w:tc>
      </w:tr>
    </w:tbl>
    <w:p w14:paraId="43743DEC">
      <w:pPr>
        <w:spacing w:after="0"/>
        <w:rPr>
          <w:rFonts w:hint="default" w:eastAsia="Arial"/>
          <w:highlight w:val="none"/>
          <w:lang w:val="es-ES"/>
        </w:rPr>
      </w:pPr>
      <w:r>
        <w:rPr>
          <w:rFonts w:eastAsia="Arial"/>
          <w:highlight w:val="none"/>
          <w:lang w:val="en-US"/>
        </w:rPr>
        <w:t>As per option 2, the default value is used for emission factor of N</w:t>
      </w:r>
      <w:r>
        <w:rPr>
          <w:rFonts w:eastAsia="Arial"/>
          <w:highlight w:val="none"/>
          <w:vertAlign w:val="subscript"/>
          <w:lang w:val="en-US"/>
        </w:rPr>
        <w:t>2</w:t>
      </w:r>
      <w:r>
        <w:rPr>
          <w:rFonts w:eastAsia="Arial"/>
          <w:highlight w:val="none"/>
          <w:lang w:val="en-US"/>
        </w:rPr>
        <w:t xml:space="preserve">O per tonne of waste, ie, </w:t>
      </w:r>
      <w:r>
        <w:rPr>
          <w:rFonts w:ascii="Cambria Math" w:hAnsi="Cambria Math" w:eastAsia="Times New Roman" w:cs="Cambria Math"/>
          <w:highlight w:val="none"/>
          <w:lang w:val="en-US"/>
        </w:rPr>
        <w:t>𝐸𝐹</w:t>
      </w:r>
      <w:r>
        <w:rPr>
          <w:rFonts w:eastAsia="Times New Roman"/>
          <w:highlight w:val="none"/>
          <w:vertAlign w:val="subscript"/>
          <w:lang w:val="en-US"/>
        </w:rPr>
        <w:t>N2O</w:t>
      </w:r>
      <w:r>
        <w:rPr>
          <w:rFonts w:eastAsia="Arial"/>
          <w:highlight w:val="none"/>
          <w:vertAlign w:val="subscript"/>
          <w:lang w:val="en-US"/>
        </w:rPr>
        <w:t xml:space="preserve">, </w:t>
      </w:r>
      <w:r>
        <w:rPr>
          <w:rFonts w:eastAsia="Arial"/>
          <w:highlight w:val="none"/>
          <w:lang w:val="en-US"/>
        </w:rPr>
        <w:t xml:space="preserve">= </w:t>
      </w:r>
      <w:r>
        <w:rPr>
          <w:rFonts w:ascii="Cambria Math" w:hAnsi="Cambria Math" w:eastAsia="Times New Roman" w:cs="Cambria Math"/>
          <w:highlight w:val="none"/>
          <w:lang w:val="en-US"/>
        </w:rPr>
        <w:t>𝐸𝐹</w:t>
      </w:r>
      <w:r>
        <w:rPr>
          <w:rFonts w:eastAsia="Times New Roman"/>
          <w:highlight w:val="none"/>
          <w:vertAlign w:val="subscript"/>
          <w:lang w:val="en-US"/>
        </w:rPr>
        <w:t>N2O</w:t>
      </w:r>
      <w:r>
        <w:rPr>
          <w:rFonts w:eastAsia="Arial"/>
          <w:highlight w:val="none"/>
          <w:vertAlign w:val="subscript"/>
          <w:lang w:val="en-US"/>
        </w:rPr>
        <w:t>,d</w:t>
      </w:r>
      <w:r>
        <w:rPr>
          <w:rFonts w:ascii="Cambria Math" w:hAnsi="Cambria Math" w:eastAsia="Times New Roman" w:cs="Cambria Math"/>
          <w:highlight w:val="none"/>
          <w:vertAlign w:val="subscript"/>
          <w:lang w:val="en-US"/>
        </w:rPr>
        <w:t>𝑒𝑓𝑎𝑢𝑙𝑡</w:t>
      </w:r>
      <w:r>
        <w:rPr>
          <w:rFonts w:eastAsia="Arial"/>
          <w:highlight w:val="none"/>
          <w:lang w:val="en-US"/>
        </w:rPr>
        <w:t xml:space="preserve"> = 0,0002</w:t>
      </w:r>
      <w:r>
        <w:rPr>
          <w:rFonts w:hint="default" w:eastAsia="Arial"/>
          <w:highlight w:val="none"/>
          <w:lang w:val="es-ES"/>
        </w:rPr>
        <w:t xml:space="preserve"> (</w:t>
      </w:r>
      <w:r>
        <w:rPr>
          <w:rFonts w:hint="default" w:ascii="Arial Regular" w:hAnsi="Arial Regular" w:eastAsia="SimSun" w:cs="Arial Regular"/>
          <w:i w:val="0"/>
          <w:iCs w:val="0"/>
          <w:color w:val="000000"/>
          <w:kern w:val="0"/>
          <w:sz w:val="22"/>
          <w:szCs w:val="22"/>
          <w:highlight w:val="none"/>
          <w:u w:val="none"/>
          <w:lang w:val="es-ES" w:eastAsia="zh-CN" w:bidi="ar"/>
        </w:rPr>
        <w:t>t CO</w:t>
      </w:r>
      <w:r>
        <w:rPr>
          <w:rFonts w:hint="default" w:ascii="Arial Regular" w:hAnsi="Arial Regular" w:eastAsia="SimSun" w:cs="Arial Regular"/>
          <w:i w:val="0"/>
          <w:iCs w:val="0"/>
          <w:color w:val="000000"/>
          <w:kern w:val="0"/>
          <w:sz w:val="22"/>
          <w:szCs w:val="22"/>
          <w:highlight w:val="none"/>
          <w:u w:val="none"/>
          <w:vertAlign w:val="subscript"/>
          <w:lang w:val="es-ES" w:eastAsia="zh-CN" w:bidi="ar"/>
        </w:rPr>
        <w:t>2</w:t>
      </w:r>
      <w:r>
        <w:rPr>
          <w:rFonts w:hint="default" w:ascii="Arial Regular" w:hAnsi="Arial Regular" w:eastAsia="SimSun" w:cs="Arial Regular"/>
          <w:i w:val="0"/>
          <w:iCs w:val="0"/>
          <w:color w:val="000000"/>
          <w:kern w:val="0"/>
          <w:sz w:val="22"/>
          <w:szCs w:val="22"/>
          <w:highlight w:val="none"/>
          <w:u w:val="none"/>
          <w:vertAlign w:val="baseline"/>
          <w:lang w:val="es-ES" w:eastAsia="zh-CN" w:bidi="ar"/>
        </w:rPr>
        <w:t xml:space="preserve"> e /</w:t>
      </w:r>
      <w:r>
        <w:rPr>
          <w:rFonts w:eastAsia="Arial"/>
          <w:highlight w:val="none"/>
          <w:lang w:val="en-US"/>
        </w:rPr>
        <w:t>t</w:t>
      </w:r>
      <w:r>
        <w:rPr>
          <w:rFonts w:hint="default" w:eastAsia="Arial"/>
          <w:highlight w:val="none"/>
          <w:lang w:val="es-ES"/>
        </w:rPr>
        <w:t xml:space="preserve"> </w:t>
      </w:r>
      <w:r>
        <w:rPr>
          <w:rFonts w:eastAsia="Arial"/>
          <w:highlight w:val="none"/>
          <w:lang w:val="en-US"/>
        </w:rPr>
        <w:t>N</w:t>
      </w:r>
      <w:r>
        <w:rPr>
          <w:rFonts w:eastAsia="Arial"/>
          <w:highlight w:val="none"/>
          <w:vertAlign w:val="subscript"/>
          <w:lang w:val="en-US"/>
        </w:rPr>
        <w:t>2</w:t>
      </w:r>
      <w:r>
        <w:rPr>
          <w:rFonts w:eastAsia="Arial"/>
          <w:highlight w:val="none"/>
          <w:lang w:val="en-US"/>
        </w:rPr>
        <w:t>O</w:t>
      </w:r>
      <w:r>
        <w:rPr>
          <w:bCs/>
          <w:color w:val="000000" w:themeColor="text1"/>
          <w:highlight w:val="none"/>
          <w:lang w:val="en-US"/>
          <w14:textFill>
            <w14:solidFill>
              <w14:schemeClr w14:val="tx1"/>
            </w14:solidFill>
          </w14:textFill>
        </w:rPr>
        <w:t>)</w:t>
      </w:r>
    </w:p>
    <w:p w14:paraId="3E363E7D">
      <w:pPr>
        <w:spacing w:after="0"/>
        <w:rPr>
          <w:rFonts w:eastAsia="Arial"/>
          <w:highlight w:val="none"/>
          <w:lang w:val="en-US"/>
        </w:rPr>
      </w:pPr>
      <w:r>
        <w:rPr>
          <w:rFonts w:eastAsia="Arial"/>
          <w:highlight w:val="none"/>
          <w:lang w:val="en-US"/>
        </w:rPr>
        <w:t>Hence, the emissions of nitrous oxide are as following:</w:t>
      </w:r>
    </w:p>
    <w:tbl>
      <w:tblPr>
        <w:tblStyle w:val="24"/>
        <w:tblW w:w="6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1450"/>
        <w:gridCol w:w="1450"/>
        <w:gridCol w:w="1450"/>
        <w:gridCol w:w="1450"/>
        <w:gridCol w:w="1450"/>
      </w:tblGrid>
      <w:tr w14:paraId="72D69FAA">
        <w:trPr>
          <w:trHeight w:val="124" w:hRule="atLeast"/>
          <w:jc w:val="center"/>
        </w:trPr>
        <w:tc>
          <w:tcPr>
            <w:tcW w:w="1701" w:type="dxa"/>
            <w:noWrap/>
            <w:vAlign w:val="center"/>
          </w:tcPr>
          <w:p w14:paraId="21F59770">
            <w:pPr>
              <w:spacing w:before="0" w:after="0"/>
              <w:jc w:val="center"/>
              <w:rPr>
                <w:rFonts w:eastAsia="Arial"/>
                <w:highlight w:val="none"/>
                <w:lang w:val="en-US"/>
              </w:rPr>
            </w:pPr>
            <w:r>
              <w:rPr>
                <w:rFonts w:hint="default"/>
                <w:color w:val="000000" w:themeColor="text1"/>
                <w:highlight w:val="none"/>
                <w:lang w:val="es-ES"/>
                <w14:textFill>
                  <w14:solidFill>
                    <w14:schemeClr w14:val="tx1"/>
                  </w14:solidFill>
                </w14:textFill>
              </w:rPr>
              <w:t>YEAR</w:t>
            </w:r>
          </w:p>
        </w:tc>
        <w:tc>
          <w:tcPr>
            <w:tcW w:w="851" w:type="dxa"/>
            <w:noWrap/>
            <w:vAlign w:val="center"/>
          </w:tcPr>
          <w:p w14:paraId="11F59777">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1</w:t>
            </w:r>
          </w:p>
          <w:p w14:paraId="16CA6C73">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/2018-31/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/2019</w:t>
            </w:r>
          </w:p>
        </w:tc>
        <w:tc>
          <w:tcPr>
            <w:tcW w:w="829" w:type="dxa"/>
            <w:noWrap/>
            <w:vAlign w:val="center"/>
          </w:tcPr>
          <w:p w14:paraId="215F6466">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2</w:t>
            </w:r>
          </w:p>
          <w:p w14:paraId="03F0660F">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/2019-31/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/2020</w:t>
            </w:r>
          </w:p>
        </w:tc>
        <w:tc>
          <w:tcPr>
            <w:tcW w:w="867" w:type="dxa"/>
            <w:noWrap/>
            <w:vAlign w:val="center"/>
          </w:tcPr>
          <w:p w14:paraId="48283EE4">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3</w:t>
            </w:r>
          </w:p>
          <w:p w14:paraId="78873897">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/2020-31/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/2021</w:t>
            </w:r>
          </w:p>
        </w:tc>
        <w:tc>
          <w:tcPr>
            <w:tcW w:w="850" w:type="dxa"/>
            <w:noWrap/>
            <w:vAlign w:val="center"/>
          </w:tcPr>
          <w:p w14:paraId="449DF16A">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4</w:t>
            </w:r>
          </w:p>
          <w:p w14:paraId="31094C60">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/2021-31/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/2022</w:t>
            </w:r>
          </w:p>
        </w:tc>
        <w:tc>
          <w:tcPr>
            <w:tcW w:w="996" w:type="dxa"/>
            <w:noWrap/>
            <w:vAlign w:val="center"/>
          </w:tcPr>
          <w:p w14:paraId="5CBF50D0">
            <w:pPr>
              <w:spacing w:before="0" w:after="0"/>
              <w:jc w:val="center"/>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5</w:t>
            </w:r>
          </w:p>
          <w:p w14:paraId="6EFEF752">
            <w:pPr>
              <w:spacing w:before="0" w:after="0"/>
              <w:jc w:val="center"/>
              <w:rPr>
                <w:rFonts w:eastAsia="Arial"/>
                <w:b/>
                <w:bCs/>
                <w:highlight w:val="none"/>
                <w:lang w:val="es-ES"/>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/2022-31/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/2023</w:t>
            </w:r>
          </w:p>
        </w:tc>
      </w:tr>
      <w:tr w14:paraId="1BAE8D00">
        <w:trPr>
          <w:trHeight w:val="320" w:hRule="atLeast"/>
          <w:jc w:val="center"/>
        </w:trPr>
        <w:tc>
          <w:tcPr>
            <w:tcW w:w="1701" w:type="dxa"/>
            <w:noWrap/>
          </w:tcPr>
          <w:p w14:paraId="5090BD8B">
            <w:pPr>
              <w:spacing w:before="0" w:after="0"/>
              <w:rPr>
                <w:rFonts w:hint="default" w:eastAsia="Arial"/>
                <w:b/>
                <w:bCs/>
                <w:highlight w:val="none"/>
                <w:lang w:val="es-ES"/>
              </w:rPr>
            </w:pPr>
            <w:r>
              <w:rPr>
                <w:rFonts w:eastAsia="Arial"/>
                <w:b/>
                <w:bCs/>
                <w:highlight w:val="none"/>
              </w:rPr>
              <w:t>PE</w:t>
            </w:r>
            <w:r>
              <w:rPr>
                <w:rFonts w:eastAsia="Arial"/>
                <w:b/>
                <w:bCs/>
                <w:highlight w:val="none"/>
                <w:vertAlign w:val="subscript"/>
              </w:rPr>
              <w:t>N2O,y</w:t>
            </w:r>
            <w:r>
              <w:rPr>
                <w:rFonts w:hint="default" w:eastAsia="Arial"/>
                <w:b/>
                <w:bCs/>
                <w:highlight w:val="none"/>
                <w:vertAlign w:val="subscript"/>
                <w:lang w:val="es-ES"/>
              </w:rPr>
              <w:t xml:space="preserve">            </w:t>
            </w:r>
            <w:r>
              <w:rPr>
                <w:bCs/>
                <w:color w:val="000000" w:themeColor="text1"/>
                <w:highlight w:val="none"/>
                <w:lang w:val="en-US"/>
                <w14:textFill>
                  <w14:solidFill>
                    <w14:schemeClr w14:val="tx1"/>
                  </w14:solidFill>
                </w14:textFill>
              </w:rPr>
              <w:t>(</w:t>
            </w:r>
            <w:r>
              <w:rPr>
                <w:rFonts w:hint="default" w:ascii="Arial Regular" w:hAnsi="Arial Regular" w:eastAsia="SimSun" w:cs="Arial Regular"/>
                <w:i w:val="0"/>
                <w:iCs w:val="0"/>
                <w:color w:val="000000"/>
                <w:kern w:val="0"/>
                <w:sz w:val="22"/>
                <w:szCs w:val="22"/>
                <w:highlight w:val="none"/>
                <w:u w:val="none"/>
                <w:lang w:val="es-ES" w:eastAsia="zh-CN" w:bidi="ar"/>
              </w:rPr>
              <w:t>t CO</w:t>
            </w:r>
            <w:r>
              <w:rPr>
                <w:rFonts w:hint="default" w:ascii="Arial Regular" w:hAnsi="Arial Regular" w:eastAsia="SimSun" w:cs="Arial Regular"/>
                <w:i w:val="0"/>
                <w:iCs w:val="0"/>
                <w:color w:val="000000"/>
                <w:kern w:val="0"/>
                <w:sz w:val="22"/>
                <w:szCs w:val="22"/>
                <w:highlight w:val="none"/>
                <w:u w:val="none"/>
                <w:vertAlign w:val="subscript"/>
                <w:lang w:val="es-ES" w:eastAsia="zh-CN" w:bidi="ar"/>
              </w:rPr>
              <w:t>2</w:t>
            </w:r>
            <w:r>
              <w:rPr>
                <w:rFonts w:hint="default" w:ascii="Arial Regular" w:hAnsi="Arial Regular" w:eastAsia="SimSun" w:cs="Arial Regular"/>
                <w:i w:val="0"/>
                <w:iCs w:val="0"/>
                <w:color w:val="000000"/>
                <w:kern w:val="0"/>
                <w:sz w:val="22"/>
                <w:szCs w:val="22"/>
                <w:highlight w:val="none"/>
                <w:u w:val="none"/>
                <w:vertAlign w:val="baseline"/>
                <w:lang w:val="es-ES" w:eastAsia="zh-CN" w:bidi="ar"/>
              </w:rPr>
              <w:t xml:space="preserve"> e )</w:t>
            </w:r>
          </w:p>
        </w:tc>
        <w:tc>
          <w:tcPr>
            <w:tcW w:w="851" w:type="dxa"/>
            <w:noWrap/>
          </w:tcPr>
          <w:p w14:paraId="33C62D9E">
            <w:pPr>
              <w:spacing w:before="0" w:after="0"/>
              <w:rPr>
                <w:rFonts w:hint="default" w:eastAsia="Arial"/>
                <w:highlight w:val="none"/>
                <w:lang w:val="es-ES"/>
              </w:rPr>
            </w:pPr>
            <w:r>
              <w:rPr>
                <w:rFonts w:hint="default"/>
                <w:highlight w:val="none"/>
                <w:lang w:val="es-ES"/>
              </w:rPr>
              <w:t>638</w:t>
            </w:r>
          </w:p>
        </w:tc>
        <w:tc>
          <w:tcPr>
            <w:tcW w:w="829" w:type="dxa"/>
            <w:noWrap/>
          </w:tcPr>
          <w:p w14:paraId="0841E05B">
            <w:pPr>
              <w:spacing w:before="0" w:after="0"/>
              <w:rPr>
                <w:rFonts w:hint="default" w:eastAsia="Arial"/>
                <w:highlight w:val="none"/>
                <w:lang w:val="es-ES"/>
              </w:rPr>
            </w:pPr>
            <w:r>
              <w:rPr>
                <w:rFonts w:hint="default"/>
                <w:highlight w:val="none"/>
                <w:lang w:val="es-ES"/>
              </w:rPr>
              <w:t>875</w:t>
            </w:r>
          </w:p>
        </w:tc>
        <w:tc>
          <w:tcPr>
            <w:tcW w:w="867" w:type="dxa"/>
            <w:noWrap/>
          </w:tcPr>
          <w:p w14:paraId="0BD55E9B">
            <w:pPr>
              <w:spacing w:before="0" w:after="0"/>
              <w:rPr>
                <w:rFonts w:eastAsia="Arial"/>
                <w:highlight w:val="none"/>
              </w:rPr>
            </w:pPr>
            <w:r>
              <w:rPr>
                <w:rFonts w:hint="default"/>
                <w:highlight w:val="none"/>
                <w:lang w:val="es-ES"/>
              </w:rPr>
              <w:t>736</w:t>
            </w:r>
          </w:p>
        </w:tc>
        <w:tc>
          <w:tcPr>
            <w:tcW w:w="850" w:type="dxa"/>
            <w:noWrap/>
          </w:tcPr>
          <w:p w14:paraId="08208BAF">
            <w:pPr>
              <w:spacing w:before="0" w:after="0"/>
              <w:rPr>
                <w:rFonts w:hint="default" w:eastAsia="Arial"/>
                <w:highlight w:val="none"/>
                <w:lang w:val="es-ES"/>
              </w:rPr>
            </w:pPr>
            <w:r>
              <w:rPr>
                <w:rFonts w:hint="default"/>
                <w:highlight w:val="none"/>
                <w:lang w:val="es-ES"/>
              </w:rPr>
              <w:t>890</w:t>
            </w:r>
          </w:p>
        </w:tc>
        <w:tc>
          <w:tcPr>
            <w:tcW w:w="996" w:type="dxa"/>
            <w:noWrap/>
          </w:tcPr>
          <w:p w14:paraId="08E903D6">
            <w:pPr>
              <w:spacing w:before="0" w:after="0"/>
              <w:rPr>
                <w:rFonts w:hint="default" w:eastAsia="Arial"/>
                <w:highlight w:val="none"/>
                <w:lang w:val="es-ES"/>
              </w:rPr>
            </w:pPr>
            <w:r>
              <w:rPr>
                <w:rFonts w:hint="default"/>
                <w:highlight w:val="none"/>
                <w:lang w:val="es-ES"/>
              </w:rPr>
              <w:t>857</w:t>
            </w:r>
          </w:p>
        </w:tc>
      </w:tr>
    </w:tbl>
    <w:p w14:paraId="49154AA6">
      <w:pPr>
        <w:spacing w:after="0"/>
        <w:rPr>
          <w:rFonts w:eastAsia="Arial"/>
          <w:b/>
          <w:bCs/>
          <w:sz w:val="24"/>
          <w:szCs w:val="24"/>
          <w:highlight w:val="none"/>
          <w:u w:val="single"/>
          <w:lang w:val="en-US"/>
        </w:rPr>
      </w:pPr>
    </w:p>
    <w:p w14:paraId="1CF37830">
      <w:pPr>
        <w:spacing w:after="0"/>
        <w:rPr>
          <w:rFonts w:eastAsia="Arial"/>
          <w:b/>
          <w:bCs/>
          <w:sz w:val="24"/>
          <w:szCs w:val="24"/>
          <w:highlight w:val="none"/>
          <w:u w:val="single"/>
          <w:lang w:val="en-US"/>
        </w:rPr>
      </w:pPr>
    </w:p>
    <w:p w14:paraId="14C16C23">
      <w:pPr>
        <w:spacing w:after="0"/>
        <w:rPr>
          <w:rFonts w:eastAsia="Arial"/>
          <w:b/>
          <w:bCs/>
          <w:highlight w:val="none"/>
          <w:lang w:val="en-US"/>
        </w:rPr>
      </w:pPr>
      <w:r>
        <w:rPr>
          <w:rFonts w:eastAsia="Arial"/>
          <w:b/>
          <w:bCs/>
          <w:highlight w:val="none"/>
          <w:lang w:val="en-US"/>
        </w:rPr>
        <w:t>In conclusion, the results of the project emissions are as following:</w:t>
      </w:r>
    </w:p>
    <w:tbl>
      <w:tblPr>
        <w:tblStyle w:val="24"/>
        <w:tblW w:w="10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826"/>
        <w:gridCol w:w="1723"/>
        <w:gridCol w:w="1762"/>
        <w:gridCol w:w="1737"/>
        <w:gridCol w:w="1717"/>
      </w:tblGrid>
      <w:tr w14:paraId="5F5B7732">
        <w:trPr>
          <w:trHeight w:val="320" w:hRule="atLeast"/>
          <w:jc w:val="center"/>
        </w:trPr>
        <w:tc>
          <w:tcPr>
            <w:tcW w:w="1432" w:type="dxa"/>
            <w:noWrap/>
            <w:vAlign w:val="center"/>
          </w:tcPr>
          <w:p w14:paraId="01E483DA">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bCs/>
                <w:highlight w:val="none"/>
                <w:u w:val="single"/>
                <w:lang w:val="en-US"/>
              </w:rPr>
            </w:pPr>
            <w:r>
              <w:rPr>
                <w:rFonts w:hint="default"/>
                <w:color w:val="000000" w:themeColor="text1"/>
                <w:highlight w:val="none"/>
                <w:lang w:val="es-ES"/>
                <w14:textFill>
                  <w14:solidFill>
                    <w14:schemeClr w14:val="tx1"/>
                  </w14:solidFill>
                </w14:textFill>
              </w:rPr>
              <w:t>YEAR</w:t>
            </w:r>
          </w:p>
        </w:tc>
        <w:tc>
          <w:tcPr>
            <w:tcW w:w="1826" w:type="dxa"/>
            <w:noWrap/>
            <w:vAlign w:val="center"/>
          </w:tcPr>
          <w:p w14:paraId="0FC6791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1</w:t>
            </w:r>
          </w:p>
          <w:p w14:paraId="1AFB4FDB">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b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/2018-31/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/2019</w:t>
            </w:r>
          </w:p>
        </w:tc>
        <w:tc>
          <w:tcPr>
            <w:tcW w:w="1723" w:type="dxa"/>
            <w:noWrap/>
            <w:vAlign w:val="center"/>
          </w:tcPr>
          <w:p w14:paraId="2B9787F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2</w:t>
            </w:r>
          </w:p>
          <w:p w14:paraId="778A1705">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b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/2019-31/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/2020</w:t>
            </w:r>
          </w:p>
        </w:tc>
        <w:tc>
          <w:tcPr>
            <w:tcW w:w="1762" w:type="dxa"/>
            <w:noWrap/>
            <w:vAlign w:val="center"/>
          </w:tcPr>
          <w:p w14:paraId="0D8B701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3</w:t>
            </w:r>
          </w:p>
          <w:p w14:paraId="76538FA5">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b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/2020-31/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/2021</w:t>
            </w:r>
          </w:p>
        </w:tc>
        <w:tc>
          <w:tcPr>
            <w:tcW w:w="1737" w:type="dxa"/>
            <w:noWrap/>
            <w:vAlign w:val="center"/>
          </w:tcPr>
          <w:p w14:paraId="1DB4607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4</w:t>
            </w:r>
          </w:p>
          <w:p w14:paraId="4B2620A3">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b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/2021-31/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/2022</w:t>
            </w:r>
          </w:p>
        </w:tc>
        <w:tc>
          <w:tcPr>
            <w:tcW w:w="1717" w:type="dxa"/>
            <w:noWrap/>
            <w:vAlign w:val="center"/>
          </w:tcPr>
          <w:p w14:paraId="65AAB3E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color w:val="000000" w:themeColor="text1"/>
                <w:highlight w:val="none"/>
                <w:lang w:val="es-ES" w:eastAsia="zh-CN"/>
                <w14:textFill>
                  <w14:solidFill>
                    <w14:schemeClr w14:val="tx1"/>
                  </w14:solidFill>
                </w14:textFill>
              </w:rPr>
            </w:pPr>
            <w:r>
              <w:rPr>
                <w:rFonts w:hint="default"/>
                <w:color w:val="000000" w:themeColor="text1"/>
                <w:highlight w:val="none"/>
                <w:lang w:val="es-ES" w:eastAsia="zh-CN"/>
                <w14:textFill>
                  <w14:solidFill>
                    <w14:schemeClr w14:val="tx1"/>
                  </w14:solidFill>
                </w14:textFill>
              </w:rPr>
              <w:t>5</w:t>
            </w:r>
          </w:p>
          <w:p w14:paraId="4388680A">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bCs/>
                <w:highlight w:val="none"/>
              </w:rPr>
            </w:pPr>
            <w:r>
              <w:rPr>
                <w:rFonts w:hint="default"/>
                <w:color w:val="000000" w:themeColor="text1"/>
                <w:highlight w:val="none"/>
                <w:lang w:val="en-US" w:eastAsia="zh-CN"/>
                <w14:textFill>
                  <w14:solidFill>
                    <w14:schemeClr w14:val="tx1"/>
                  </w14:solidFill>
                </w14:textFill>
              </w:rPr>
              <w:t>1/</w:t>
            </w:r>
            <w:r>
              <w:rPr>
                <w:rFonts w:hint="default"/>
                <w:color w:val="000000" w:themeColor="text1"/>
                <w:highlight w:val="none"/>
                <w:lang w:val="es-ES" w:eastAsia="zh-CN"/>
                <w14:textFill>
                  <w14:solidFill>
                    <w14:schemeClr w14:val="tx1"/>
                  </w14:solidFill>
                </w14:textFill>
              </w:rPr>
              <w:t>april</w:t>
            </w:r>
            <w:r>
              <w:rPr>
                <w:rFonts w:hint="default"/>
                <w:color w:val="000000" w:themeColor="text1"/>
                <w:highlight w:val="none"/>
                <w:lang w:val="en-US" w:eastAsia="zh-CN"/>
                <w14:textFill>
                  <w14:solidFill>
                    <w14:schemeClr w14:val="tx1"/>
                  </w14:solidFill>
                </w14:textFill>
              </w:rPr>
              <w:t>/2022-31/</w:t>
            </w:r>
            <w:r>
              <w:rPr>
                <w:rFonts w:hint="default"/>
                <w:color w:val="000000" w:themeColor="text1"/>
                <w:highlight w:val="none"/>
                <w:lang w:val="es-ES" w:eastAsia="zh-CN"/>
                <w14:textFill>
                  <w14:solidFill>
                    <w14:schemeClr w14:val="tx1"/>
                  </w14:solidFill>
                </w14:textFill>
              </w:rPr>
              <w:t>march</w:t>
            </w:r>
            <w:r>
              <w:rPr>
                <w:rFonts w:hint="default"/>
                <w:color w:val="000000" w:themeColor="text1"/>
                <w:highlight w:val="none"/>
                <w:lang w:val="en-US" w:eastAsia="zh-CN"/>
                <w14:textFill>
                  <w14:solidFill>
                    <w14:schemeClr w14:val="tx1"/>
                  </w14:solidFill>
                </w14:textFill>
              </w:rPr>
              <w:t>/2023</w:t>
            </w:r>
          </w:p>
        </w:tc>
      </w:tr>
      <w:tr w14:paraId="14D3D8F0">
        <w:trPr>
          <w:trHeight w:val="90" w:hRule="atLeast"/>
          <w:jc w:val="center"/>
        </w:trPr>
        <w:tc>
          <w:tcPr>
            <w:tcW w:w="1432" w:type="dxa"/>
            <w:noWrap/>
          </w:tcPr>
          <w:p w14:paraId="6A1B7002">
            <w:pPr>
              <w:keepNext w:val="0"/>
              <w:keepLines w:val="0"/>
              <w:pageBreakBefore w:val="0"/>
              <w:widowControl/>
              <w:kinsoku/>
              <w:wordWrap/>
              <w:overflowPunct/>
              <w:topLinePunct w:val="0"/>
              <w:autoSpaceDE/>
              <w:autoSpaceDN/>
              <w:bidi w:val="0"/>
              <w:adjustRightInd/>
              <w:snapToGrid/>
              <w:spacing w:before="0" w:after="0"/>
              <w:textAlignment w:val="auto"/>
              <w:rPr>
                <w:rFonts w:eastAsia="Arial"/>
                <w:highlight w:val="none"/>
              </w:rPr>
            </w:pPr>
            <w:r>
              <w:rPr>
                <w:rFonts w:eastAsia="Arial"/>
                <w:highlight w:val="none"/>
              </w:rPr>
              <w:t>PE</w:t>
            </w:r>
            <w:r>
              <w:rPr>
                <w:rFonts w:eastAsia="Arial"/>
                <w:highlight w:val="none"/>
                <w:vertAlign w:val="subscript"/>
              </w:rPr>
              <w:t>EC,y</w:t>
            </w:r>
          </w:p>
        </w:tc>
        <w:tc>
          <w:tcPr>
            <w:tcW w:w="1826" w:type="dxa"/>
            <w:noWrap/>
            <w:vAlign w:val="center"/>
          </w:tcPr>
          <w:p w14:paraId="677DCC43">
            <w:pPr>
              <w:keepNext w:val="0"/>
              <w:keepLines w:val="0"/>
              <w:pageBreakBefore w:val="0"/>
              <w:widowControl/>
              <w:kinsoku/>
              <w:wordWrap/>
              <w:overflowPunct/>
              <w:topLinePunct w:val="0"/>
              <w:autoSpaceDE/>
              <w:autoSpaceDN/>
              <w:bidi w:val="0"/>
              <w:adjustRightInd/>
              <w:snapToGrid/>
              <w:spacing w:after="0"/>
              <w:jc w:val="center"/>
              <w:textAlignment w:val="auto"/>
              <w:rPr>
                <w:rFonts w:eastAsia="Arial"/>
                <w:b w:val="0"/>
                <w:bCs w:val="0"/>
                <w:highlight w:val="none"/>
              </w:rPr>
            </w:pPr>
            <w:r>
              <w:rPr>
                <w:rFonts w:hint="default" w:eastAsia="Arial"/>
                <w:b w:val="0"/>
                <w:bCs w:val="0"/>
                <w:highlight w:val="none"/>
                <w:lang w:val="es-ES"/>
              </w:rPr>
              <w:t>5</w:t>
            </w:r>
          </w:p>
        </w:tc>
        <w:tc>
          <w:tcPr>
            <w:tcW w:w="1723" w:type="dxa"/>
            <w:noWrap/>
            <w:vAlign w:val="center"/>
          </w:tcPr>
          <w:p w14:paraId="470E07BF">
            <w:pPr>
              <w:keepNext w:val="0"/>
              <w:keepLines w:val="0"/>
              <w:pageBreakBefore w:val="0"/>
              <w:widowControl/>
              <w:kinsoku/>
              <w:wordWrap/>
              <w:overflowPunct/>
              <w:topLinePunct w:val="0"/>
              <w:autoSpaceDE/>
              <w:autoSpaceDN/>
              <w:bidi w:val="0"/>
              <w:adjustRightInd/>
              <w:snapToGrid/>
              <w:spacing w:after="0"/>
              <w:jc w:val="center"/>
              <w:textAlignment w:val="auto"/>
              <w:rPr>
                <w:rFonts w:eastAsia="Arial"/>
                <w:b w:val="0"/>
                <w:bCs w:val="0"/>
                <w:highlight w:val="none"/>
              </w:rPr>
            </w:pPr>
            <w:r>
              <w:rPr>
                <w:rFonts w:hint="default" w:eastAsia="Arial"/>
                <w:b w:val="0"/>
                <w:bCs w:val="0"/>
                <w:highlight w:val="none"/>
                <w:lang w:val="es-ES"/>
              </w:rPr>
              <w:t>6</w:t>
            </w:r>
          </w:p>
        </w:tc>
        <w:tc>
          <w:tcPr>
            <w:tcW w:w="1762" w:type="dxa"/>
            <w:noWrap/>
            <w:vAlign w:val="center"/>
          </w:tcPr>
          <w:p w14:paraId="36C6034A">
            <w:pPr>
              <w:keepNext w:val="0"/>
              <w:keepLines w:val="0"/>
              <w:pageBreakBefore w:val="0"/>
              <w:widowControl/>
              <w:kinsoku/>
              <w:wordWrap/>
              <w:overflowPunct/>
              <w:topLinePunct w:val="0"/>
              <w:autoSpaceDE/>
              <w:autoSpaceDN/>
              <w:bidi w:val="0"/>
              <w:adjustRightInd/>
              <w:snapToGrid/>
              <w:spacing w:after="0"/>
              <w:jc w:val="center"/>
              <w:textAlignment w:val="auto"/>
              <w:rPr>
                <w:rFonts w:eastAsia="Arial"/>
                <w:b w:val="0"/>
                <w:bCs w:val="0"/>
                <w:highlight w:val="none"/>
              </w:rPr>
            </w:pPr>
            <w:r>
              <w:rPr>
                <w:rFonts w:hint="default" w:eastAsia="Arial"/>
                <w:b w:val="0"/>
                <w:bCs w:val="0"/>
                <w:highlight w:val="none"/>
                <w:lang w:val="es-ES"/>
              </w:rPr>
              <w:t>6</w:t>
            </w:r>
          </w:p>
        </w:tc>
        <w:tc>
          <w:tcPr>
            <w:tcW w:w="1737" w:type="dxa"/>
            <w:noWrap/>
            <w:vAlign w:val="center"/>
          </w:tcPr>
          <w:p w14:paraId="780F0840">
            <w:pPr>
              <w:keepNext w:val="0"/>
              <w:keepLines w:val="0"/>
              <w:pageBreakBefore w:val="0"/>
              <w:widowControl/>
              <w:kinsoku/>
              <w:wordWrap/>
              <w:overflowPunct/>
              <w:topLinePunct w:val="0"/>
              <w:autoSpaceDE/>
              <w:autoSpaceDN/>
              <w:bidi w:val="0"/>
              <w:adjustRightInd/>
              <w:snapToGrid/>
              <w:spacing w:after="0"/>
              <w:jc w:val="center"/>
              <w:textAlignment w:val="auto"/>
              <w:rPr>
                <w:rFonts w:eastAsia="Arial"/>
                <w:b w:val="0"/>
                <w:bCs w:val="0"/>
                <w:highlight w:val="none"/>
              </w:rPr>
            </w:pPr>
            <w:r>
              <w:rPr>
                <w:rFonts w:eastAsia="Arial"/>
                <w:b w:val="0"/>
                <w:bCs w:val="0"/>
                <w:highlight w:val="none"/>
                <w:lang w:val="es-ES"/>
              </w:rPr>
              <w:t>7</w:t>
            </w:r>
          </w:p>
        </w:tc>
        <w:tc>
          <w:tcPr>
            <w:tcW w:w="1717" w:type="dxa"/>
            <w:noWrap/>
            <w:vAlign w:val="center"/>
          </w:tcPr>
          <w:p w14:paraId="38352991">
            <w:pPr>
              <w:keepNext w:val="0"/>
              <w:keepLines w:val="0"/>
              <w:pageBreakBefore w:val="0"/>
              <w:widowControl/>
              <w:kinsoku/>
              <w:wordWrap/>
              <w:overflowPunct/>
              <w:topLinePunct w:val="0"/>
              <w:autoSpaceDE/>
              <w:autoSpaceDN/>
              <w:bidi w:val="0"/>
              <w:adjustRightInd/>
              <w:snapToGrid/>
              <w:spacing w:after="0"/>
              <w:jc w:val="center"/>
              <w:textAlignment w:val="auto"/>
              <w:rPr>
                <w:rFonts w:eastAsia="Arial"/>
                <w:b w:val="0"/>
                <w:bCs w:val="0"/>
                <w:highlight w:val="none"/>
              </w:rPr>
            </w:pPr>
            <w:r>
              <w:rPr>
                <w:rFonts w:hint="default" w:eastAsia="Arial"/>
                <w:b w:val="0"/>
                <w:bCs w:val="0"/>
                <w:highlight w:val="none"/>
                <w:lang w:val="es-ES"/>
              </w:rPr>
              <w:t>5</w:t>
            </w:r>
          </w:p>
        </w:tc>
      </w:tr>
      <w:tr w14:paraId="799E64FF">
        <w:trPr>
          <w:trHeight w:val="320" w:hRule="atLeast"/>
          <w:jc w:val="center"/>
        </w:trPr>
        <w:tc>
          <w:tcPr>
            <w:tcW w:w="1432" w:type="dxa"/>
            <w:noWrap/>
          </w:tcPr>
          <w:p w14:paraId="1206C574">
            <w:pPr>
              <w:keepNext w:val="0"/>
              <w:keepLines w:val="0"/>
              <w:pageBreakBefore w:val="0"/>
              <w:widowControl/>
              <w:kinsoku/>
              <w:wordWrap/>
              <w:overflowPunct/>
              <w:topLinePunct w:val="0"/>
              <w:autoSpaceDE/>
              <w:autoSpaceDN/>
              <w:bidi w:val="0"/>
              <w:adjustRightInd/>
              <w:snapToGrid/>
              <w:spacing w:before="0" w:after="0"/>
              <w:textAlignment w:val="auto"/>
              <w:rPr>
                <w:rFonts w:eastAsia="Arial"/>
                <w:highlight w:val="none"/>
              </w:rPr>
            </w:pPr>
            <w:r>
              <w:rPr>
                <w:rFonts w:eastAsia="Arial"/>
                <w:highlight w:val="none"/>
              </w:rPr>
              <w:t>PE</w:t>
            </w:r>
            <w:r>
              <w:rPr>
                <w:rFonts w:eastAsia="Arial"/>
                <w:highlight w:val="none"/>
                <w:vertAlign w:val="subscript"/>
              </w:rPr>
              <w:t>FC,y</w:t>
            </w:r>
          </w:p>
        </w:tc>
        <w:tc>
          <w:tcPr>
            <w:tcW w:w="1826" w:type="dxa"/>
            <w:noWrap/>
            <w:vAlign w:val="bottom"/>
          </w:tcPr>
          <w:p w14:paraId="449440B7">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hint="default" w:eastAsia="Arial"/>
                <w:b w:val="0"/>
                <w:bCs w:val="0"/>
                <w:highlight w:val="none"/>
                <w:lang w:val="es-ES"/>
              </w:rPr>
              <w:t>31</w:t>
            </w:r>
          </w:p>
        </w:tc>
        <w:tc>
          <w:tcPr>
            <w:tcW w:w="1723" w:type="dxa"/>
            <w:noWrap/>
            <w:vAlign w:val="bottom"/>
          </w:tcPr>
          <w:p w14:paraId="13D6D5C4">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eastAsia="Arial"/>
                <w:b w:val="0"/>
                <w:bCs w:val="0"/>
                <w:highlight w:val="none"/>
              </w:rPr>
              <w:t>5</w:t>
            </w:r>
            <w:r>
              <w:rPr>
                <w:rFonts w:hint="default" w:eastAsia="Arial"/>
                <w:b w:val="0"/>
                <w:bCs w:val="0"/>
                <w:highlight w:val="none"/>
                <w:lang w:val="es-ES"/>
              </w:rPr>
              <w:t>3</w:t>
            </w:r>
          </w:p>
        </w:tc>
        <w:tc>
          <w:tcPr>
            <w:tcW w:w="1762" w:type="dxa"/>
            <w:noWrap/>
            <w:vAlign w:val="bottom"/>
          </w:tcPr>
          <w:p w14:paraId="3CD7F9E9">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eastAsia="Arial"/>
                <w:b w:val="0"/>
                <w:bCs w:val="0"/>
                <w:highlight w:val="none"/>
              </w:rPr>
              <w:t>46</w:t>
            </w:r>
          </w:p>
        </w:tc>
        <w:tc>
          <w:tcPr>
            <w:tcW w:w="1737" w:type="dxa"/>
            <w:noWrap/>
            <w:vAlign w:val="bottom"/>
          </w:tcPr>
          <w:p w14:paraId="378472E7">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hint="default" w:eastAsia="Arial"/>
                <w:b w:val="0"/>
                <w:bCs w:val="0"/>
                <w:highlight w:val="none"/>
                <w:lang w:val="es-ES"/>
              </w:rPr>
              <w:t>52</w:t>
            </w:r>
          </w:p>
        </w:tc>
        <w:tc>
          <w:tcPr>
            <w:tcW w:w="1717" w:type="dxa"/>
            <w:noWrap/>
            <w:vAlign w:val="bottom"/>
          </w:tcPr>
          <w:p w14:paraId="5F08D0CC">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hint="default" w:eastAsia="Arial"/>
                <w:b w:val="0"/>
                <w:bCs w:val="0"/>
                <w:highlight w:val="none"/>
                <w:lang w:val="es-ES"/>
              </w:rPr>
              <w:t>90</w:t>
            </w:r>
          </w:p>
        </w:tc>
      </w:tr>
      <w:tr w14:paraId="27528271">
        <w:trPr>
          <w:trHeight w:val="320" w:hRule="atLeast"/>
          <w:jc w:val="center"/>
        </w:trPr>
        <w:tc>
          <w:tcPr>
            <w:tcW w:w="1432" w:type="dxa"/>
            <w:noWrap/>
          </w:tcPr>
          <w:p w14:paraId="45F31E8F">
            <w:pPr>
              <w:keepNext w:val="0"/>
              <w:keepLines w:val="0"/>
              <w:pageBreakBefore w:val="0"/>
              <w:widowControl/>
              <w:kinsoku/>
              <w:wordWrap/>
              <w:overflowPunct/>
              <w:topLinePunct w:val="0"/>
              <w:autoSpaceDE/>
              <w:autoSpaceDN/>
              <w:bidi w:val="0"/>
              <w:adjustRightInd/>
              <w:snapToGrid/>
              <w:spacing w:before="0" w:after="0"/>
              <w:textAlignment w:val="auto"/>
              <w:rPr>
                <w:rFonts w:eastAsia="Arial"/>
                <w:highlight w:val="none"/>
              </w:rPr>
            </w:pPr>
            <w:r>
              <w:rPr>
                <w:rFonts w:eastAsia="Arial"/>
                <w:highlight w:val="none"/>
              </w:rPr>
              <w:t>PE</w:t>
            </w:r>
            <w:r>
              <w:rPr>
                <w:rFonts w:eastAsia="Arial"/>
                <w:highlight w:val="none"/>
                <w:vertAlign w:val="subscript"/>
              </w:rPr>
              <w:t>CH4,y</w:t>
            </w:r>
          </w:p>
        </w:tc>
        <w:tc>
          <w:tcPr>
            <w:tcW w:w="1826" w:type="dxa"/>
            <w:noWrap/>
            <w:vAlign w:val="bottom"/>
          </w:tcPr>
          <w:p w14:paraId="1CD2498A">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hint="default" w:ascii="Calibri" w:hAnsi="Calibri" w:cs="Calibri"/>
                <w:b w:val="0"/>
                <w:bCs w:val="0"/>
                <w:color w:val="000000"/>
                <w:highlight w:val="none"/>
                <w:lang w:val="es-ES"/>
              </w:rPr>
              <w:t>674</w:t>
            </w:r>
          </w:p>
        </w:tc>
        <w:tc>
          <w:tcPr>
            <w:tcW w:w="1723" w:type="dxa"/>
            <w:noWrap/>
            <w:vAlign w:val="bottom"/>
          </w:tcPr>
          <w:p w14:paraId="64758AB1">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hint="default" w:ascii="Calibri" w:hAnsi="Calibri" w:cs="Calibri"/>
                <w:b w:val="0"/>
                <w:bCs w:val="0"/>
                <w:color w:val="000000"/>
                <w:highlight w:val="none"/>
                <w:lang w:val="es-ES"/>
              </w:rPr>
              <w:t>925</w:t>
            </w:r>
          </w:p>
        </w:tc>
        <w:tc>
          <w:tcPr>
            <w:tcW w:w="1762" w:type="dxa"/>
            <w:noWrap/>
            <w:vAlign w:val="bottom"/>
          </w:tcPr>
          <w:p w14:paraId="390941E7">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hint="default" w:ascii="Calibri" w:hAnsi="Calibri" w:cs="Calibri"/>
                <w:b w:val="0"/>
                <w:bCs w:val="0"/>
                <w:color w:val="000000"/>
                <w:highlight w:val="none"/>
                <w:lang w:val="es-ES"/>
              </w:rPr>
              <w:t>778</w:t>
            </w:r>
          </w:p>
        </w:tc>
        <w:tc>
          <w:tcPr>
            <w:tcW w:w="1737" w:type="dxa"/>
            <w:noWrap/>
            <w:vAlign w:val="bottom"/>
          </w:tcPr>
          <w:p w14:paraId="66FD7318">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hint="default" w:ascii="Calibri" w:hAnsi="Calibri" w:cs="Calibri"/>
                <w:b w:val="0"/>
                <w:bCs w:val="0"/>
                <w:color w:val="000000"/>
                <w:highlight w:val="none"/>
                <w:lang w:val="es-ES"/>
              </w:rPr>
              <w:t>940</w:t>
            </w:r>
          </w:p>
        </w:tc>
        <w:tc>
          <w:tcPr>
            <w:tcW w:w="1717" w:type="dxa"/>
            <w:noWrap/>
            <w:vAlign w:val="bottom"/>
          </w:tcPr>
          <w:p w14:paraId="48F9EF04">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hint="default" w:ascii="Calibri" w:hAnsi="Calibri" w:cs="Calibri"/>
                <w:b w:val="0"/>
                <w:bCs w:val="0"/>
                <w:color w:val="000000"/>
                <w:highlight w:val="none"/>
                <w:lang w:val="es-ES"/>
              </w:rPr>
              <w:t>906</w:t>
            </w:r>
          </w:p>
        </w:tc>
      </w:tr>
      <w:tr w14:paraId="2D7CCD90">
        <w:trPr>
          <w:trHeight w:val="300" w:hRule="atLeast"/>
          <w:jc w:val="center"/>
        </w:trPr>
        <w:tc>
          <w:tcPr>
            <w:tcW w:w="1432" w:type="dxa"/>
            <w:noWrap/>
          </w:tcPr>
          <w:p w14:paraId="5AA14080">
            <w:pPr>
              <w:keepNext w:val="0"/>
              <w:keepLines w:val="0"/>
              <w:pageBreakBefore w:val="0"/>
              <w:widowControl/>
              <w:kinsoku/>
              <w:wordWrap/>
              <w:overflowPunct/>
              <w:topLinePunct w:val="0"/>
              <w:autoSpaceDE/>
              <w:autoSpaceDN/>
              <w:bidi w:val="0"/>
              <w:adjustRightInd/>
              <w:snapToGrid/>
              <w:spacing w:before="0" w:after="0"/>
              <w:textAlignment w:val="auto"/>
              <w:rPr>
                <w:rFonts w:eastAsia="Arial"/>
                <w:highlight w:val="none"/>
              </w:rPr>
            </w:pPr>
            <w:r>
              <w:rPr>
                <w:rFonts w:eastAsia="Arial"/>
                <w:highlight w:val="none"/>
              </w:rPr>
              <w:t>PE</w:t>
            </w:r>
            <w:r>
              <w:rPr>
                <w:rFonts w:eastAsia="Arial"/>
                <w:highlight w:val="none"/>
                <w:vertAlign w:val="subscript"/>
              </w:rPr>
              <w:t>N2O,y</w:t>
            </w:r>
          </w:p>
        </w:tc>
        <w:tc>
          <w:tcPr>
            <w:tcW w:w="1826" w:type="dxa"/>
            <w:noWrap/>
            <w:vAlign w:val="top"/>
          </w:tcPr>
          <w:p w14:paraId="4152D083">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hint="default"/>
                <w:b w:val="0"/>
                <w:bCs w:val="0"/>
                <w:highlight w:val="none"/>
                <w:lang w:val="es-ES"/>
              </w:rPr>
              <w:t>638</w:t>
            </w:r>
          </w:p>
        </w:tc>
        <w:tc>
          <w:tcPr>
            <w:tcW w:w="1723" w:type="dxa"/>
            <w:noWrap/>
            <w:vAlign w:val="top"/>
          </w:tcPr>
          <w:p w14:paraId="2DA34C22">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hint="default"/>
                <w:b w:val="0"/>
                <w:bCs w:val="0"/>
                <w:highlight w:val="none"/>
                <w:lang w:val="es-ES"/>
              </w:rPr>
              <w:t>875</w:t>
            </w:r>
          </w:p>
        </w:tc>
        <w:tc>
          <w:tcPr>
            <w:tcW w:w="1762" w:type="dxa"/>
            <w:noWrap/>
            <w:vAlign w:val="top"/>
          </w:tcPr>
          <w:p w14:paraId="317032AD">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hint="default"/>
                <w:b w:val="0"/>
                <w:bCs w:val="0"/>
                <w:highlight w:val="none"/>
                <w:lang w:val="es-ES"/>
              </w:rPr>
              <w:t>736</w:t>
            </w:r>
          </w:p>
        </w:tc>
        <w:tc>
          <w:tcPr>
            <w:tcW w:w="1737" w:type="dxa"/>
            <w:noWrap/>
            <w:vAlign w:val="top"/>
          </w:tcPr>
          <w:p w14:paraId="04BE737B">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hint="default"/>
                <w:b w:val="0"/>
                <w:bCs w:val="0"/>
                <w:highlight w:val="none"/>
                <w:lang w:val="es-ES"/>
              </w:rPr>
              <w:t>890</w:t>
            </w:r>
          </w:p>
        </w:tc>
        <w:tc>
          <w:tcPr>
            <w:tcW w:w="1717" w:type="dxa"/>
            <w:noWrap/>
            <w:vAlign w:val="top"/>
          </w:tcPr>
          <w:p w14:paraId="342991CC">
            <w:pPr>
              <w:keepNext w:val="0"/>
              <w:keepLines w:val="0"/>
              <w:pageBreakBefore w:val="0"/>
              <w:widowControl/>
              <w:kinsoku/>
              <w:wordWrap/>
              <w:overflowPunct/>
              <w:topLinePunct w:val="0"/>
              <w:autoSpaceDE/>
              <w:autoSpaceDN/>
              <w:bidi w:val="0"/>
              <w:adjustRightInd/>
              <w:snapToGrid/>
              <w:spacing w:before="0" w:after="0"/>
              <w:jc w:val="center"/>
              <w:textAlignment w:val="auto"/>
              <w:rPr>
                <w:rFonts w:eastAsia="Arial"/>
                <w:b w:val="0"/>
                <w:bCs w:val="0"/>
                <w:highlight w:val="none"/>
              </w:rPr>
            </w:pPr>
            <w:r>
              <w:rPr>
                <w:rFonts w:hint="default"/>
                <w:b w:val="0"/>
                <w:bCs w:val="0"/>
                <w:highlight w:val="none"/>
                <w:lang w:val="es-ES"/>
              </w:rPr>
              <w:t>857</w:t>
            </w:r>
          </w:p>
        </w:tc>
      </w:tr>
      <w:tr w14:paraId="3D7FB71B">
        <w:trPr>
          <w:trHeight w:val="340" w:hRule="atLeast"/>
          <w:jc w:val="center"/>
        </w:trPr>
        <w:tc>
          <w:tcPr>
            <w:tcW w:w="1432" w:type="dxa"/>
            <w:noWrap/>
          </w:tcPr>
          <w:p w14:paraId="75598971">
            <w:pPr>
              <w:keepNext w:val="0"/>
              <w:keepLines w:val="0"/>
              <w:pageBreakBefore w:val="0"/>
              <w:widowControl/>
              <w:kinsoku/>
              <w:wordWrap/>
              <w:overflowPunct/>
              <w:topLinePunct w:val="0"/>
              <w:autoSpaceDE/>
              <w:autoSpaceDN/>
              <w:bidi w:val="0"/>
              <w:adjustRightInd/>
              <w:snapToGrid/>
              <w:spacing w:before="0" w:after="0"/>
              <w:ind w:left="110" w:hanging="110" w:hangingChars="50"/>
              <w:textAlignment w:val="auto"/>
              <w:rPr>
                <w:rFonts w:hint="default" w:eastAsia="Arial"/>
                <w:b/>
                <w:bCs/>
                <w:highlight w:val="none"/>
                <w:vertAlign w:val="baseline"/>
                <w:lang w:val="es-ES"/>
              </w:rPr>
            </w:pPr>
            <w:r>
              <w:rPr>
                <w:rFonts w:eastAsia="Arial"/>
                <w:b/>
                <w:bCs/>
                <w:highlight w:val="none"/>
              </w:rPr>
              <w:t>TOTAL</w:t>
            </w:r>
            <w:r>
              <w:rPr>
                <w:rFonts w:hint="default" w:eastAsia="Arial"/>
                <w:b/>
                <w:bCs/>
                <w:highlight w:val="none"/>
                <w:lang w:val="es-ES"/>
              </w:rPr>
              <w:t xml:space="preserve">      (t CO</w:t>
            </w:r>
            <w:r>
              <w:rPr>
                <w:rFonts w:hint="default" w:eastAsia="Arial"/>
                <w:b/>
                <w:bCs/>
                <w:highlight w:val="none"/>
                <w:vertAlign w:val="subscript"/>
                <w:lang w:val="es-ES"/>
              </w:rPr>
              <w:t>2</w:t>
            </w:r>
            <w:r>
              <w:rPr>
                <w:rFonts w:hint="default" w:eastAsia="Arial"/>
                <w:b/>
                <w:bCs/>
                <w:highlight w:val="none"/>
                <w:vertAlign w:val="baseline"/>
                <w:lang w:val="es-ES"/>
              </w:rPr>
              <w:t xml:space="preserve"> e)</w:t>
            </w:r>
          </w:p>
        </w:tc>
        <w:tc>
          <w:tcPr>
            <w:tcW w:w="1826" w:type="dxa"/>
            <w:noWrap/>
            <w:vAlign w:val="bottom"/>
          </w:tcPr>
          <w:p w14:paraId="68BD4BAB">
            <w:pPr>
              <w:keepNext w:val="0"/>
              <w:keepLines w:val="0"/>
              <w:pageBreakBefore w:val="0"/>
              <w:widowControl/>
              <w:kinsoku/>
              <w:wordWrap/>
              <w:overflowPunct/>
              <w:topLinePunct w:val="0"/>
              <w:autoSpaceDE/>
              <w:autoSpaceDN/>
              <w:bidi w:val="0"/>
              <w:adjustRightInd/>
              <w:snapToGrid/>
              <w:spacing w:before="0" w:after="0"/>
              <w:textAlignment w:val="auto"/>
              <w:rPr>
                <w:rFonts w:hint="default" w:eastAsia="Arial"/>
                <w:b/>
                <w:bCs/>
                <w:highlight w:val="none"/>
                <w:lang w:val="es-ES"/>
              </w:rPr>
            </w:pPr>
            <w:r>
              <w:rPr>
                <w:rFonts w:hint="default" w:eastAsia="Arial"/>
                <w:b/>
                <w:bCs/>
                <w:highlight w:val="none"/>
                <w:lang w:val="en-US" w:eastAsia="zh-CN"/>
              </w:rPr>
              <w:t>1</w:t>
            </w:r>
            <w:r>
              <w:rPr>
                <w:rFonts w:hint="default" w:eastAsia="Arial"/>
                <w:b/>
                <w:bCs/>
                <w:highlight w:val="none"/>
                <w:lang w:val="es-ES" w:eastAsia="zh-CN"/>
              </w:rPr>
              <w:t>,</w:t>
            </w:r>
            <w:r>
              <w:rPr>
                <w:rFonts w:hint="default" w:eastAsia="Arial"/>
                <w:b/>
                <w:bCs/>
                <w:highlight w:val="none"/>
                <w:lang w:val="en-US" w:eastAsia="zh-CN"/>
              </w:rPr>
              <w:t>348</w:t>
            </w:r>
          </w:p>
        </w:tc>
        <w:tc>
          <w:tcPr>
            <w:tcW w:w="1723" w:type="dxa"/>
            <w:noWrap/>
            <w:vAlign w:val="bottom"/>
          </w:tcPr>
          <w:p w14:paraId="2FBB1C69">
            <w:pPr>
              <w:keepNext w:val="0"/>
              <w:keepLines w:val="0"/>
              <w:pageBreakBefore w:val="0"/>
              <w:widowControl/>
              <w:kinsoku/>
              <w:wordWrap/>
              <w:overflowPunct/>
              <w:topLinePunct w:val="0"/>
              <w:autoSpaceDE/>
              <w:autoSpaceDN/>
              <w:bidi w:val="0"/>
              <w:adjustRightInd/>
              <w:snapToGrid/>
              <w:spacing w:before="0" w:after="0"/>
              <w:textAlignment w:val="auto"/>
              <w:rPr>
                <w:rFonts w:hint="default" w:eastAsia="Arial"/>
                <w:b/>
                <w:bCs/>
                <w:highlight w:val="none"/>
                <w:lang w:val="es-ES"/>
              </w:rPr>
            </w:pPr>
            <w:r>
              <w:rPr>
                <w:rFonts w:hint="default" w:eastAsia="Arial"/>
                <w:b/>
                <w:bCs/>
                <w:highlight w:val="none"/>
                <w:lang w:val="en-US" w:eastAsia="zh-CN"/>
              </w:rPr>
              <w:t>1</w:t>
            </w:r>
            <w:r>
              <w:rPr>
                <w:rFonts w:hint="default" w:eastAsia="Arial"/>
                <w:b/>
                <w:bCs/>
                <w:highlight w:val="none"/>
                <w:lang w:val="es-ES" w:eastAsia="zh-CN"/>
              </w:rPr>
              <w:t>,</w:t>
            </w:r>
            <w:r>
              <w:rPr>
                <w:rFonts w:hint="default" w:eastAsia="Arial"/>
                <w:b/>
                <w:bCs/>
                <w:highlight w:val="none"/>
                <w:lang w:val="en-US" w:eastAsia="zh-CN"/>
              </w:rPr>
              <w:t>859</w:t>
            </w:r>
          </w:p>
        </w:tc>
        <w:tc>
          <w:tcPr>
            <w:tcW w:w="1762" w:type="dxa"/>
            <w:noWrap/>
            <w:vAlign w:val="bottom"/>
          </w:tcPr>
          <w:p w14:paraId="1EA05145">
            <w:pPr>
              <w:keepNext w:val="0"/>
              <w:keepLines w:val="0"/>
              <w:pageBreakBefore w:val="0"/>
              <w:widowControl/>
              <w:kinsoku/>
              <w:wordWrap/>
              <w:overflowPunct/>
              <w:topLinePunct w:val="0"/>
              <w:autoSpaceDE/>
              <w:autoSpaceDN/>
              <w:bidi w:val="0"/>
              <w:adjustRightInd/>
              <w:snapToGrid/>
              <w:spacing w:before="0" w:after="0"/>
              <w:textAlignment w:val="auto"/>
              <w:rPr>
                <w:rFonts w:hint="default" w:eastAsia="Arial"/>
                <w:b/>
                <w:bCs/>
                <w:highlight w:val="none"/>
                <w:lang w:val="es-ES"/>
              </w:rPr>
            </w:pPr>
            <w:r>
              <w:rPr>
                <w:rFonts w:hint="default" w:eastAsia="Arial"/>
                <w:b/>
                <w:bCs/>
                <w:highlight w:val="none"/>
                <w:lang w:val="en-US" w:eastAsia="zh-CN"/>
              </w:rPr>
              <w:t>1</w:t>
            </w:r>
            <w:r>
              <w:rPr>
                <w:rFonts w:hint="default" w:eastAsia="Arial"/>
                <w:b/>
                <w:bCs/>
                <w:highlight w:val="none"/>
                <w:lang w:val="es-ES" w:eastAsia="zh-CN"/>
              </w:rPr>
              <w:t>,</w:t>
            </w:r>
            <w:r>
              <w:rPr>
                <w:rFonts w:hint="default" w:eastAsia="Arial"/>
                <w:b/>
                <w:bCs/>
                <w:highlight w:val="none"/>
                <w:lang w:val="en-US" w:eastAsia="zh-CN"/>
              </w:rPr>
              <w:t>566</w:t>
            </w:r>
          </w:p>
        </w:tc>
        <w:tc>
          <w:tcPr>
            <w:tcW w:w="1737" w:type="dxa"/>
            <w:noWrap/>
            <w:vAlign w:val="bottom"/>
          </w:tcPr>
          <w:p w14:paraId="76FB377A">
            <w:pPr>
              <w:keepNext w:val="0"/>
              <w:keepLines w:val="0"/>
              <w:pageBreakBefore w:val="0"/>
              <w:widowControl/>
              <w:kinsoku/>
              <w:wordWrap/>
              <w:overflowPunct/>
              <w:topLinePunct w:val="0"/>
              <w:autoSpaceDE/>
              <w:autoSpaceDN/>
              <w:bidi w:val="0"/>
              <w:adjustRightInd/>
              <w:snapToGrid/>
              <w:spacing w:before="0" w:after="0"/>
              <w:textAlignment w:val="auto"/>
              <w:rPr>
                <w:rFonts w:hint="default" w:eastAsia="Arial"/>
                <w:b/>
                <w:bCs/>
                <w:highlight w:val="none"/>
                <w:lang w:val="es-ES"/>
              </w:rPr>
            </w:pPr>
            <w:r>
              <w:rPr>
                <w:rFonts w:hint="default" w:eastAsia="Arial"/>
                <w:b/>
                <w:bCs/>
                <w:highlight w:val="none"/>
                <w:lang w:val="en-US" w:eastAsia="zh-CN"/>
              </w:rPr>
              <w:t>1</w:t>
            </w:r>
            <w:r>
              <w:rPr>
                <w:rFonts w:hint="default" w:eastAsia="Arial"/>
                <w:b/>
                <w:bCs/>
                <w:highlight w:val="none"/>
                <w:lang w:val="es-ES" w:eastAsia="zh-CN"/>
              </w:rPr>
              <w:t>,</w:t>
            </w:r>
            <w:r>
              <w:rPr>
                <w:rFonts w:hint="default" w:eastAsia="Arial"/>
                <w:b/>
                <w:bCs/>
                <w:highlight w:val="none"/>
                <w:lang w:val="en-US" w:eastAsia="zh-CN"/>
              </w:rPr>
              <w:t>889</w:t>
            </w:r>
          </w:p>
        </w:tc>
        <w:tc>
          <w:tcPr>
            <w:tcW w:w="1717" w:type="dxa"/>
            <w:noWrap/>
            <w:vAlign w:val="bottom"/>
          </w:tcPr>
          <w:p w14:paraId="3CC08A07">
            <w:pPr>
              <w:keepNext w:val="0"/>
              <w:keepLines w:val="0"/>
              <w:pageBreakBefore w:val="0"/>
              <w:widowControl/>
              <w:kinsoku/>
              <w:wordWrap/>
              <w:overflowPunct/>
              <w:topLinePunct w:val="0"/>
              <w:autoSpaceDE/>
              <w:autoSpaceDN/>
              <w:bidi w:val="0"/>
              <w:adjustRightInd/>
              <w:snapToGrid/>
              <w:spacing w:before="0" w:after="0"/>
              <w:textAlignment w:val="auto"/>
              <w:rPr>
                <w:rFonts w:hint="default" w:eastAsia="Arial"/>
                <w:b/>
                <w:bCs/>
                <w:highlight w:val="none"/>
                <w:lang w:val="es-ES"/>
              </w:rPr>
            </w:pPr>
            <w:r>
              <w:rPr>
                <w:rFonts w:hint="default" w:eastAsia="Arial"/>
                <w:b/>
                <w:bCs/>
                <w:highlight w:val="none"/>
                <w:lang w:val="en-US" w:eastAsia="zh-CN"/>
              </w:rPr>
              <w:t>1</w:t>
            </w:r>
            <w:r>
              <w:rPr>
                <w:rFonts w:hint="default" w:eastAsia="Arial"/>
                <w:b/>
                <w:bCs/>
                <w:highlight w:val="none"/>
                <w:lang w:val="es-ES" w:eastAsia="zh-CN"/>
              </w:rPr>
              <w:t>,</w:t>
            </w:r>
            <w:r>
              <w:rPr>
                <w:rFonts w:hint="default" w:eastAsia="Arial"/>
                <w:b/>
                <w:bCs/>
                <w:highlight w:val="none"/>
                <w:lang w:val="en-US" w:eastAsia="zh-CN"/>
              </w:rPr>
              <w:t>858</w:t>
            </w:r>
          </w:p>
        </w:tc>
      </w:tr>
    </w:tbl>
    <w:p w14:paraId="719A70AC">
      <w:pPr>
        <w:spacing w:after="0"/>
        <w:rPr>
          <w:rFonts w:eastAsia="Arial"/>
          <w:b/>
          <w:bCs/>
          <w:sz w:val="24"/>
          <w:szCs w:val="24"/>
          <w:highlight w:val="none"/>
          <w:u w:val="single"/>
        </w:rPr>
      </w:pPr>
    </w:p>
    <w:p w14:paraId="750BFE1F">
      <w:pPr>
        <w:pStyle w:val="3"/>
        <w:rPr>
          <w:highlight w:val="none"/>
        </w:rPr>
      </w:pPr>
      <w:bookmarkStart w:id="130" w:name="_Toc212088889"/>
      <w:r>
        <w:rPr>
          <w:highlight w:val="none"/>
        </w:rPr>
        <w:t>Leakages</w:t>
      </w:r>
      <w:bookmarkEnd w:id="130"/>
    </w:p>
    <w:p w14:paraId="44DEDAB8">
      <w:pPr>
        <w:spacing w:after="0"/>
        <w:rPr>
          <w:rFonts w:eastAsia="Arial"/>
          <w:highlight w:val="none"/>
          <w:lang w:val="en-US"/>
        </w:rPr>
      </w:pPr>
      <w:bookmarkStart w:id="131" w:name="_Toc122443307"/>
      <w:r>
        <w:rPr>
          <w:rFonts w:eastAsia="Arial"/>
          <w:highlight w:val="none"/>
          <w:lang w:val="en-US"/>
        </w:rPr>
        <w:t>Based on methodology AMS.III.F, there is no leakage emission from this project activity because:</w:t>
      </w:r>
    </w:p>
    <w:p w14:paraId="78A36BFE">
      <w:pPr>
        <w:pStyle w:val="35"/>
        <w:numPr>
          <w:ilvl w:val="0"/>
          <w:numId w:val="9"/>
        </w:numPr>
        <w:spacing w:after="0"/>
        <w:rPr>
          <w:rFonts w:eastAsia="Arial"/>
          <w:highlight w:val="none"/>
          <w:lang w:val="en-US"/>
        </w:rPr>
      </w:pPr>
      <w:r>
        <w:rPr>
          <w:rFonts w:eastAsia="Arial"/>
          <w:highlight w:val="none"/>
          <w:lang w:val="en-US"/>
        </w:rPr>
        <w:t>No composting technology equipment is transferred from or to another activity.</w:t>
      </w:r>
    </w:p>
    <w:p w14:paraId="79BE5682">
      <w:pPr>
        <w:pStyle w:val="35"/>
        <w:numPr>
          <w:ilvl w:val="0"/>
          <w:numId w:val="9"/>
        </w:numPr>
        <w:spacing w:after="0"/>
        <w:rPr>
          <w:rFonts w:eastAsia="Arial"/>
          <w:highlight w:val="none"/>
          <w:lang w:val="en-US"/>
        </w:rPr>
      </w:pPr>
      <w:r>
        <w:rPr>
          <w:rFonts w:eastAsia="Arial"/>
          <w:highlight w:val="none"/>
          <w:lang w:val="en-US"/>
        </w:rPr>
        <w:t>The compost is not stored in anaerobic condition and not disposed of in a SWDS.</w:t>
      </w:r>
    </w:p>
    <w:p w14:paraId="0A05A94A">
      <w:pPr>
        <w:spacing w:after="0"/>
        <w:rPr>
          <w:rFonts w:eastAsia="Arial"/>
          <w:highlight w:val="none"/>
          <w:lang w:val="en-US"/>
        </w:rPr>
      </w:pPr>
      <w:r>
        <w:rPr>
          <w:rFonts w:eastAsia="Arial"/>
          <w:highlight w:val="none"/>
          <w:lang w:val="en-US"/>
        </w:rPr>
        <w:t>The permanence of the project is ensured because this project is retroactive and the emission reduction is calculated after its commissioning.</w:t>
      </w:r>
    </w:p>
    <w:p w14:paraId="0E3FE211">
      <w:pPr>
        <w:spacing w:after="0"/>
        <w:rPr>
          <w:rFonts w:eastAsia="Arial"/>
          <w:i/>
          <w:iCs/>
          <w:highlight w:val="none"/>
          <w:lang w:val="en-GB"/>
        </w:rPr>
      </w:pPr>
      <w:r>
        <w:rPr>
          <w:rFonts w:eastAsia="Arial"/>
          <w:highlight w:val="none"/>
          <w:lang w:val="en-US"/>
        </w:rPr>
        <w:t xml:space="preserve">So, </w:t>
      </w:r>
      <w:r>
        <w:rPr>
          <w:rFonts w:eastAsia="Arial"/>
          <w:i/>
          <w:iCs/>
          <w:highlight w:val="none"/>
          <w:lang w:val="en-GB"/>
        </w:rPr>
        <w:t>LE</w:t>
      </w:r>
      <w:r>
        <w:rPr>
          <w:rFonts w:eastAsia="Arial"/>
          <w:i/>
          <w:iCs/>
          <w:highlight w:val="none"/>
          <w:vertAlign w:val="subscript"/>
          <w:lang w:val="en-GB"/>
        </w:rPr>
        <w:t>y</w:t>
      </w:r>
      <w:r>
        <w:rPr>
          <w:rFonts w:eastAsia="Arial"/>
          <w:i/>
          <w:iCs/>
          <w:highlight w:val="none"/>
          <w:lang w:val="en-GB"/>
        </w:rPr>
        <w:t xml:space="preserve"> = 0.</w:t>
      </w:r>
    </w:p>
    <w:p w14:paraId="27F1AC73">
      <w:pPr>
        <w:spacing w:after="0"/>
        <w:rPr>
          <w:rFonts w:eastAsia="Arial"/>
          <w:i/>
          <w:iCs/>
          <w:highlight w:val="none"/>
          <w:lang w:val="en-GB"/>
        </w:rPr>
      </w:pPr>
    </w:p>
    <w:p w14:paraId="1D00AE30">
      <w:pPr>
        <w:pStyle w:val="3"/>
        <w:ind w:left="720" w:hanging="720"/>
        <w:rPr>
          <w:highlight w:val="none"/>
        </w:rPr>
      </w:pPr>
      <w:bookmarkStart w:id="132" w:name="_Toc1902587050"/>
      <w:r>
        <w:rPr>
          <w:highlight w:val="none"/>
        </w:rPr>
        <w:t>Net GHG Emission Reductions / Removals</w:t>
      </w:r>
      <w:bookmarkEnd w:id="131"/>
      <w:bookmarkEnd w:id="132"/>
    </w:p>
    <w:p w14:paraId="631B2EEE">
      <w:pPr>
        <w:rPr>
          <w:highlight w:val="none"/>
          <w:lang w:val="en-US"/>
        </w:rPr>
      </w:pPr>
      <w:r>
        <w:rPr>
          <w:highlight w:val="none"/>
          <w:lang w:val="en-US"/>
        </w:rPr>
        <w:t>he project is a retroactive project, and the emission reduction is calculated after the commissioning of the project. The results shown in the table are the consequence of the application of the methodology AMS-III.F for composting non-hazardous solid waste.</w:t>
      </w:r>
    </w:p>
    <w:p w14:paraId="75AFA6D0">
      <w:pPr>
        <w:keepNext w:val="0"/>
        <w:keepLines w:val="0"/>
        <w:pageBreakBefore w:val="0"/>
        <w:widowControl/>
        <w:kinsoku/>
        <w:wordWrap/>
        <w:overflowPunct/>
        <w:topLinePunct w:val="0"/>
        <w:autoSpaceDE/>
        <w:autoSpaceDN/>
        <w:bidi w:val="0"/>
        <w:adjustRightInd/>
        <w:snapToGrid/>
        <w:spacing w:after="120"/>
        <w:textAlignment w:val="auto"/>
        <w:rPr>
          <w:highlight w:val="none"/>
          <w:lang w:val="en-US"/>
        </w:rPr>
      </w:pPr>
      <w:r>
        <w:rPr>
          <w:highlight w:val="none"/>
          <w:lang w:val="en-US"/>
        </w:rPr>
        <w:t>All the activities described are the result of the construction of new composting facilities or the expansion of capacity of existing composting facilities within the period contemplated. Therefore, the formula used as indicated in the methodology AMS-III.F. Small-scale methodology: Avoidance of methane emissions through composting Version 12.0, is the Equation 2:</w:t>
      </w:r>
    </w:p>
    <w:p w14:paraId="3B6E9CF2">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highlight w:val="none"/>
          <w:vertAlign w:val="baseline"/>
          <w:lang w:val="es-ES"/>
        </w:rPr>
      </w:pPr>
      <w:r>
        <w:rPr>
          <w:rFonts w:hint="default"/>
          <w:highlight w:val="none"/>
          <w:lang w:val="es-ES"/>
        </w:rPr>
        <w:t>ER</w:t>
      </w:r>
      <w:r>
        <w:rPr>
          <w:rFonts w:hint="default"/>
          <w:highlight w:val="none"/>
          <w:vertAlign w:val="subscript"/>
          <w:lang w:val="es-ES"/>
        </w:rPr>
        <w:t>y</w:t>
      </w:r>
      <w:r>
        <w:rPr>
          <w:rFonts w:hint="default"/>
          <w:highlight w:val="none"/>
          <w:vertAlign w:val="baseline"/>
          <w:lang w:val="es-ES"/>
        </w:rPr>
        <w:t>= BE</w:t>
      </w:r>
      <w:r>
        <w:rPr>
          <w:rFonts w:hint="default"/>
          <w:highlight w:val="none"/>
          <w:vertAlign w:val="subscript"/>
          <w:lang w:val="es-ES"/>
        </w:rPr>
        <w:t>y</w:t>
      </w:r>
      <w:r>
        <w:rPr>
          <w:rFonts w:hint="default"/>
          <w:highlight w:val="none"/>
          <w:vertAlign w:val="baseline"/>
          <w:lang w:val="es-ES"/>
        </w:rPr>
        <w:t xml:space="preserve"> +  (PE</w:t>
      </w:r>
      <w:r>
        <w:rPr>
          <w:rFonts w:hint="default"/>
          <w:highlight w:val="none"/>
          <w:vertAlign w:val="subscript"/>
          <w:lang w:val="es-ES"/>
        </w:rPr>
        <w:t>y</w:t>
      </w:r>
      <w:r>
        <w:rPr>
          <w:rFonts w:hint="default"/>
          <w:highlight w:val="none"/>
          <w:vertAlign w:val="baseline"/>
          <w:lang w:val="es-ES"/>
        </w:rPr>
        <w:t xml:space="preserve"> - LE</w:t>
      </w:r>
      <w:r>
        <w:rPr>
          <w:rFonts w:hint="default"/>
          <w:highlight w:val="none"/>
          <w:vertAlign w:val="subscript"/>
          <w:lang w:val="es-ES"/>
        </w:rPr>
        <w:t>y</w:t>
      </w:r>
      <w:r>
        <w:rPr>
          <w:rFonts w:hint="default"/>
          <w:highlight w:val="none"/>
          <w:vertAlign w:val="baseline"/>
          <w:lang w:val="es-ES"/>
        </w:rPr>
        <w:t>)</w:t>
      </w:r>
    </w:p>
    <w:p w14:paraId="55D2B6A4">
      <w:pPr>
        <w:keepNext w:val="0"/>
        <w:keepLines w:val="0"/>
        <w:pageBreakBefore w:val="0"/>
        <w:widowControl/>
        <w:kinsoku/>
        <w:wordWrap/>
        <w:overflowPunct/>
        <w:topLinePunct w:val="0"/>
        <w:autoSpaceDE/>
        <w:autoSpaceDN/>
        <w:bidi w:val="0"/>
        <w:adjustRightInd/>
        <w:snapToGrid/>
        <w:spacing w:after="120" w:line="240" w:lineRule="auto"/>
        <w:jc w:val="both"/>
        <w:textAlignment w:val="auto"/>
        <w:rPr>
          <w:highlight w:val="none"/>
          <w:lang w:val="en-US"/>
        </w:rPr>
      </w:pPr>
      <w:r>
        <w:rPr>
          <w:highlight w:val="none"/>
          <w:lang w:val="en-US"/>
        </w:rPr>
        <w:t>Where:</w:t>
      </w:r>
    </w:p>
    <w:p w14:paraId="19C320F0">
      <w:pPr>
        <w:spacing w:before="0" w:after="0"/>
        <w:ind w:firstLine="284"/>
        <w:rPr>
          <w:highlight w:val="none"/>
          <w:lang w:val="en-US"/>
        </w:rPr>
      </w:pPr>
      <w:r>
        <w:rPr>
          <w:rFonts w:ascii="Cambria Math" w:hAnsi="Cambria Math" w:cs="Cambria Math"/>
          <w:highlight w:val="none"/>
          <w:lang w:val="en-US"/>
        </w:rPr>
        <w:t>𝐸𝑅𝑦</w:t>
      </w:r>
      <w:r>
        <w:rPr>
          <w:highlight w:val="none"/>
          <w:lang w:val="en-US"/>
        </w:rPr>
        <w:t xml:space="preserve"> = Emission reduction in the year y (tCO</w:t>
      </w:r>
      <w:r>
        <w:rPr>
          <w:highlight w:val="none"/>
          <w:vertAlign w:val="subscript"/>
          <w:lang w:val="en-US"/>
        </w:rPr>
        <w:t>2</w:t>
      </w:r>
      <w:r>
        <w:rPr>
          <w:highlight w:val="none"/>
          <w:lang w:val="en-US"/>
        </w:rPr>
        <w:t>e)</w:t>
      </w:r>
    </w:p>
    <w:p w14:paraId="145678C6">
      <w:pPr>
        <w:spacing w:before="0" w:after="0"/>
        <w:ind w:firstLine="284"/>
        <w:rPr>
          <w:highlight w:val="none"/>
          <w:lang w:val="en-US"/>
        </w:rPr>
      </w:pPr>
      <w:r>
        <w:rPr>
          <w:rFonts w:ascii="Cambria Math" w:hAnsi="Cambria Math" w:cs="Cambria Math"/>
          <w:highlight w:val="none"/>
          <w:lang w:val="en-US"/>
        </w:rPr>
        <w:t>𝐵𝐸𝑦</w:t>
      </w:r>
      <w:r>
        <w:rPr>
          <w:highlight w:val="none"/>
          <w:lang w:val="en-US"/>
        </w:rPr>
        <w:t xml:space="preserve"> = Baseline emissions in year y (tCO</w:t>
      </w:r>
      <w:r>
        <w:rPr>
          <w:highlight w:val="none"/>
          <w:vertAlign w:val="subscript"/>
          <w:lang w:val="en-US"/>
        </w:rPr>
        <w:t>2</w:t>
      </w:r>
      <w:r>
        <w:rPr>
          <w:highlight w:val="none"/>
          <w:lang w:val="en-US"/>
        </w:rPr>
        <w:t>e)</w:t>
      </w:r>
    </w:p>
    <w:p w14:paraId="62D5E161">
      <w:pPr>
        <w:spacing w:before="0" w:after="0"/>
        <w:ind w:firstLine="284"/>
        <w:rPr>
          <w:highlight w:val="none"/>
          <w:lang w:val="en-US"/>
        </w:rPr>
      </w:pPr>
      <w:r>
        <w:rPr>
          <w:rFonts w:ascii="Cambria Math" w:hAnsi="Cambria Math" w:cs="Cambria Math"/>
          <w:highlight w:val="none"/>
          <w:lang w:val="en-US"/>
        </w:rPr>
        <w:t>𝑃𝐸𝑦</w:t>
      </w:r>
      <w:r>
        <w:rPr>
          <w:highlight w:val="none"/>
          <w:lang w:val="en-US"/>
        </w:rPr>
        <w:t xml:space="preserve"> = Project emissions in the year y (tCO</w:t>
      </w:r>
      <w:r>
        <w:rPr>
          <w:highlight w:val="none"/>
          <w:vertAlign w:val="subscript"/>
          <w:lang w:val="en-US"/>
        </w:rPr>
        <w:t>2</w:t>
      </w:r>
      <w:r>
        <w:rPr>
          <w:highlight w:val="none"/>
          <w:lang w:val="en-US"/>
        </w:rPr>
        <w:t>e)</w:t>
      </w:r>
    </w:p>
    <w:p w14:paraId="05569066">
      <w:pPr>
        <w:spacing w:before="0" w:after="0"/>
        <w:ind w:firstLine="284"/>
        <w:rPr>
          <w:highlight w:val="none"/>
          <w:lang w:val="en-US"/>
        </w:rPr>
      </w:pPr>
      <w:r>
        <w:rPr>
          <w:rFonts w:ascii="Cambria Math" w:hAnsi="Cambria Math" w:cs="Cambria Math"/>
          <w:highlight w:val="none"/>
          <w:lang w:val="en-US"/>
        </w:rPr>
        <w:t>𝐿𝐸𝑦</w:t>
      </w:r>
      <w:r>
        <w:rPr>
          <w:highlight w:val="none"/>
          <w:lang w:val="en-US"/>
        </w:rPr>
        <w:t xml:space="preserve"> = Leakage emissions in year y (tCO</w:t>
      </w:r>
      <w:r>
        <w:rPr>
          <w:highlight w:val="none"/>
          <w:vertAlign w:val="subscript"/>
          <w:lang w:val="en-US"/>
        </w:rPr>
        <w:t>2</w:t>
      </w:r>
      <w:r>
        <w:rPr>
          <w:highlight w:val="none"/>
          <w:lang w:val="en-US"/>
        </w:rPr>
        <w:t>e)</w:t>
      </w:r>
    </w:p>
    <w:p w14:paraId="68E6C470">
      <w:pPr>
        <w:spacing w:before="0" w:after="0"/>
        <w:ind w:firstLine="284"/>
        <w:rPr>
          <w:highlight w:val="none"/>
          <w:lang w:val="en-US"/>
        </w:rPr>
      </w:pPr>
    </w:p>
    <w:tbl>
      <w:tblPr>
        <w:tblStyle w:val="12"/>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2943"/>
        <w:gridCol w:w="1307"/>
        <w:gridCol w:w="1417"/>
        <w:gridCol w:w="1276"/>
        <w:gridCol w:w="1417"/>
      </w:tblGrid>
      <w:tr w14:paraId="7A36AF6A">
        <w:trPr>
          <w:trHeight w:val="47" w:hRule="atLeast"/>
          <w:jc w:val="center"/>
        </w:trPr>
        <w:tc>
          <w:tcPr>
            <w:tcW w:w="2943" w:type="dxa"/>
            <w:shd w:val="clear" w:color="auto" w:fill="auto"/>
            <w:tcMar>
              <w:top w:w="20" w:type="dxa"/>
              <w:left w:w="20" w:type="dxa"/>
              <w:bottom w:w="100" w:type="dxa"/>
              <w:right w:w="20" w:type="dxa"/>
            </w:tcMar>
          </w:tcPr>
          <w:p w14:paraId="3C25B56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40" w:lineRule="auto"/>
              <w:jc w:val="center"/>
              <w:rPr>
                <w:highlight w:val="none"/>
                <w:u w:val="single"/>
                <w:lang w:val="en-US"/>
              </w:rPr>
            </w:pPr>
            <w:r>
              <w:rPr>
                <w:highlight w:val="none"/>
                <w:u w:val="single"/>
                <w:lang w:val="en-US"/>
              </w:rPr>
              <w:t>PERIOD</w:t>
            </w:r>
          </w:p>
        </w:tc>
        <w:tc>
          <w:tcPr>
            <w:tcW w:w="1307" w:type="dxa"/>
          </w:tcPr>
          <w:p w14:paraId="3BBB161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40" w:lineRule="auto"/>
              <w:jc w:val="center"/>
              <w:rPr>
                <w:highlight w:val="none"/>
                <w:u w:val="single"/>
                <w:lang w:val="en-US"/>
              </w:rPr>
            </w:pPr>
            <w:r>
              <w:rPr>
                <w:highlight w:val="none"/>
                <w:u w:val="single"/>
                <w:lang w:val="en-US"/>
              </w:rPr>
              <w:t>BASELINE EMISSIONS</w:t>
            </w:r>
          </w:p>
        </w:tc>
        <w:tc>
          <w:tcPr>
            <w:tcW w:w="1417" w:type="dxa"/>
          </w:tcPr>
          <w:p w14:paraId="4500593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40" w:lineRule="auto"/>
              <w:jc w:val="center"/>
              <w:rPr>
                <w:highlight w:val="none"/>
                <w:u w:val="single"/>
                <w:lang w:val="en-US"/>
              </w:rPr>
            </w:pPr>
            <w:r>
              <w:rPr>
                <w:highlight w:val="none"/>
                <w:u w:val="single"/>
                <w:lang w:val="en-US"/>
              </w:rPr>
              <w:t>PROJECT EMISSIONS</w:t>
            </w:r>
          </w:p>
        </w:tc>
        <w:tc>
          <w:tcPr>
            <w:tcW w:w="1276" w:type="dxa"/>
          </w:tcPr>
          <w:p w14:paraId="55D7F91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40" w:lineRule="auto"/>
              <w:jc w:val="center"/>
              <w:rPr>
                <w:highlight w:val="none"/>
                <w:u w:val="single"/>
                <w:lang w:val="en-US"/>
              </w:rPr>
            </w:pPr>
            <w:r>
              <w:rPr>
                <w:highlight w:val="none"/>
                <w:u w:val="single"/>
                <w:lang w:val="en-US"/>
              </w:rPr>
              <w:t>LEAKAGE EMISIONS</w:t>
            </w:r>
          </w:p>
        </w:tc>
        <w:tc>
          <w:tcPr>
            <w:tcW w:w="1417" w:type="dxa"/>
            <w:shd w:val="clear" w:color="auto" w:fill="auto"/>
            <w:tcMar>
              <w:top w:w="20" w:type="dxa"/>
              <w:left w:w="20" w:type="dxa"/>
              <w:bottom w:w="100" w:type="dxa"/>
              <w:right w:w="20" w:type="dxa"/>
            </w:tcMar>
          </w:tcPr>
          <w:p w14:paraId="50D5A3C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240" w:lineRule="auto"/>
              <w:jc w:val="center"/>
              <w:rPr>
                <w:highlight w:val="none"/>
                <w:u w:val="single"/>
                <w:lang w:val="en-US"/>
              </w:rPr>
            </w:pPr>
            <w:r>
              <w:rPr>
                <w:highlight w:val="none"/>
                <w:u w:val="single"/>
                <w:lang w:val="en-US"/>
              </w:rPr>
              <w:t>EMISSION REDUCTION</w:t>
            </w:r>
          </w:p>
        </w:tc>
      </w:tr>
      <w:tr w14:paraId="1CA70211">
        <w:trPr>
          <w:trHeight w:val="90" w:hRule="atLeast"/>
          <w:jc w:val="center"/>
        </w:trPr>
        <w:tc>
          <w:tcPr>
            <w:tcW w:w="2943" w:type="dxa"/>
            <w:shd w:val="clear" w:color="auto" w:fill="auto"/>
            <w:tcMar>
              <w:top w:w="20" w:type="dxa"/>
              <w:left w:w="20" w:type="dxa"/>
              <w:bottom w:w="100" w:type="dxa"/>
              <w:right w:w="20" w:type="dxa"/>
            </w:tcMar>
            <w:vAlign w:val="bottom"/>
          </w:tcPr>
          <w:p w14:paraId="00A7C097">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1/april/2018-31/march/2019</w:t>
            </w:r>
          </w:p>
        </w:tc>
        <w:tc>
          <w:tcPr>
            <w:tcW w:w="1307" w:type="dxa"/>
            <w:vAlign w:val="bottom"/>
          </w:tcPr>
          <w:p w14:paraId="397E4698">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10,873</w:t>
            </w:r>
          </w:p>
        </w:tc>
        <w:tc>
          <w:tcPr>
            <w:tcW w:w="1417" w:type="dxa"/>
            <w:vAlign w:val="bottom"/>
          </w:tcPr>
          <w:p w14:paraId="13A5DF7C">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1,348</w:t>
            </w:r>
          </w:p>
        </w:tc>
        <w:tc>
          <w:tcPr>
            <w:tcW w:w="1276" w:type="dxa"/>
            <w:vAlign w:val="bottom"/>
          </w:tcPr>
          <w:p w14:paraId="678B1264">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0</w:t>
            </w:r>
          </w:p>
        </w:tc>
        <w:tc>
          <w:tcPr>
            <w:tcW w:w="1417" w:type="dxa"/>
            <w:shd w:val="clear" w:color="auto" w:fill="auto"/>
            <w:tcMar>
              <w:top w:w="20" w:type="dxa"/>
              <w:left w:w="20" w:type="dxa"/>
              <w:bottom w:w="100" w:type="dxa"/>
              <w:right w:w="20" w:type="dxa"/>
            </w:tcMar>
            <w:vAlign w:val="bottom"/>
          </w:tcPr>
          <w:p w14:paraId="42C09B67">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9,525</w:t>
            </w:r>
          </w:p>
        </w:tc>
      </w:tr>
      <w:tr w14:paraId="58848954">
        <w:trPr>
          <w:trHeight w:val="111" w:hRule="atLeast"/>
          <w:jc w:val="center"/>
        </w:trPr>
        <w:tc>
          <w:tcPr>
            <w:tcW w:w="2943" w:type="dxa"/>
            <w:shd w:val="clear" w:color="auto" w:fill="auto"/>
            <w:tcMar>
              <w:top w:w="20" w:type="dxa"/>
              <w:left w:w="20" w:type="dxa"/>
              <w:bottom w:w="100" w:type="dxa"/>
              <w:right w:w="20" w:type="dxa"/>
            </w:tcMar>
            <w:vAlign w:val="bottom"/>
          </w:tcPr>
          <w:p w14:paraId="45D29816">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1/april/2019-31/march/2020</w:t>
            </w:r>
          </w:p>
        </w:tc>
        <w:tc>
          <w:tcPr>
            <w:tcW w:w="1307" w:type="dxa"/>
            <w:vAlign w:val="bottom"/>
          </w:tcPr>
          <w:p w14:paraId="27127779">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14,911</w:t>
            </w:r>
          </w:p>
        </w:tc>
        <w:tc>
          <w:tcPr>
            <w:tcW w:w="1417" w:type="dxa"/>
            <w:vAlign w:val="bottom"/>
          </w:tcPr>
          <w:p w14:paraId="342CCF6D">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1,859</w:t>
            </w:r>
          </w:p>
        </w:tc>
        <w:tc>
          <w:tcPr>
            <w:tcW w:w="1276" w:type="dxa"/>
            <w:vAlign w:val="bottom"/>
          </w:tcPr>
          <w:p w14:paraId="64743E95">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0</w:t>
            </w:r>
          </w:p>
        </w:tc>
        <w:tc>
          <w:tcPr>
            <w:tcW w:w="1417" w:type="dxa"/>
            <w:shd w:val="clear" w:color="auto" w:fill="auto"/>
            <w:tcMar>
              <w:top w:w="20" w:type="dxa"/>
              <w:left w:w="20" w:type="dxa"/>
              <w:bottom w:w="100" w:type="dxa"/>
              <w:right w:w="20" w:type="dxa"/>
            </w:tcMar>
            <w:vAlign w:val="bottom"/>
          </w:tcPr>
          <w:p w14:paraId="5332E27C">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13,052</w:t>
            </w:r>
          </w:p>
        </w:tc>
      </w:tr>
      <w:tr w14:paraId="0AE7955D">
        <w:trPr>
          <w:trHeight w:val="50" w:hRule="atLeast"/>
          <w:jc w:val="center"/>
        </w:trPr>
        <w:tc>
          <w:tcPr>
            <w:tcW w:w="2943" w:type="dxa"/>
            <w:shd w:val="clear" w:color="auto" w:fill="auto"/>
            <w:tcMar>
              <w:top w:w="20" w:type="dxa"/>
              <w:left w:w="20" w:type="dxa"/>
              <w:bottom w:w="100" w:type="dxa"/>
              <w:right w:w="20" w:type="dxa"/>
            </w:tcMar>
            <w:vAlign w:val="bottom"/>
          </w:tcPr>
          <w:p w14:paraId="795F748E">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1/april/2020-31/march/2021</w:t>
            </w:r>
          </w:p>
        </w:tc>
        <w:tc>
          <w:tcPr>
            <w:tcW w:w="1307" w:type="dxa"/>
            <w:vAlign w:val="bottom"/>
          </w:tcPr>
          <w:p w14:paraId="74185DE1">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12,540</w:t>
            </w:r>
          </w:p>
        </w:tc>
        <w:tc>
          <w:tcPr>
            <w:tcW w:w="1417" w:type="dxa"/>
            <w:vAlign w:val="bottom"/>
          </w:tcPr>
          <w:p w14:paraId="2A69E257">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1,566</w:t>
            </w:r>
          </w:p>
        </w:tc>
        <w:tc>
          <w:tcPr>
            <w:tcW w:w="1276" w:type="dxa"/>
            <w:vAlign w:val="bottom"/>
          </w:tcPr>
          <w:p w14:paraId="1057714E">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0</w:t>
            </w:r>
          </w:p>
        </w:tc>
        <w:tc>
          <w:tcPr>
            <w:tcW w:w="1417" w:type="dxa"/>
            <w:shd w:val="clear" w:color="auto" w:fill="auto"/>
            <w:tcMar>
              <w:top w:w="20" w:type="dxa"/>
              <w:left w:w="20" w:type="dxa"/>
              <w:bottom w:w="100" w:type="dxa"/>
              <w:right w:w="20" w:type="dxa"/>
            </w:tcMar>
            <w:vAlign w:val="bottom"/>
          </w:tcPr>
          <w:p w14:paraId="70389136">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10,974</w:t>
            </w:r>
          </w:p>
        </w:tc>
      </w:tr>
      <w:tr w14:paraId="49811D51">
        <w:trPr>
          <w:trHeight w:val="50" w:hRule="atLeast"/>
          <w:jc w:val="center"/>
        </w:trPr>
        <w:tc>
          <w:tcPr>
            <w:tcW w:w="2943" w:type="dxa"/>
            <w:shd w:val="clear" w:color="auto" w:fill="auto"/>
            <w:tcMar>
              <w:top w:w="20" w:type="dxa"/>
              <w:left w:w="20" w:type="dxa"/>
              <w:bottom w:w="100" w:type="dxa"/>
              <w:right w:w="20" w:type="dxa"/>
            </w:tcMar>
            <w:vAlign w:val="bottom"/>
          </w:tcPr>
          <w:p w14:paraId="775E42E1">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1/april/2021-31/march/2022</w:t>
            </w:r>
          </w:p>
        </w:tc>
        <w:tc>
          <w:tcPr>
            <w:tcW w:w="1307" w:type="dxa"/>
            <w:vAlign w:val="bottom"/>
          </w:tcPr>
          <w:p w14:paraId="1A9DD85E">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15,164</w:t>
            </w:r>
          </w:p>
        </w:tc>
        <w:tc>
          <w:tcPr>
            <w:tcW w:w="1417" w:type="dxa"/>
            <w:vAlign w:val="bottom"/>
          </w:tcPr>
          <w:p w14:paraId="2DD1C42A">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1,889</w:t>
            </w:r>
          </w:p>
        </w:tc>
        <w:tc>
          <w:tcPr>
            <w:tcW w:w="1276" w:type="dxa"/>
            <w:vAlign w:val="bottom"/>
          </w:tcPr>
          <w:p w14:paraId="20168CE4">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0</w:t>
            </w:r>
          </w:p>
        </w:tc>
        <w:tc>
          <w:tcPr>
            <w:tcW w:w="1417" w:type="dxa"/>
            <w:shd w:val="clear" w:color="auto" w:fill="auto"/>
            <w:tcMar>
              <w:top w:w="20" w:type="dxa"/>
              <w:left w:w="20" w:type="dxa"/>
              <w:bottom w:w="100" w:type="dxa"/>
              <w:right w:w="20" w:type="dxa"/>
            </w:tcMar>
            <w:vAlign w:val="bottom"/>
          </w:tcPr>
          <w:p w14:paraId="13693EF5">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13,275</w:t>
            </w:r>
          </w:p>
        </w:tc>
      </w:tr>
      <w:tr w14:paraId="5A373D50">
        <w:trPr>
          <w:trHeight w:val="62" w:hRule="atLeast"/>
          <w:jc w:val="center"/>
        </w:trPr>
        <w:tc>
          <w:tcPr>
            <w:tcW w:w="2943" w:type="dxa"/>
            <w:shd w:val="clear" w:color="auto" w:fill="auto"/>
            <w:tcMar>
              <w:top w:w="20" w:type="dxa"/>
              <w:left w:w="20" w:type="dxa"/>
              <w:bottom w:w="100" w:type="dxa"/>
              <w:right w:w="20" w:type="dxa"/>
            </w:tcMar>
            <w:vAlign w:val="bottom"/>
          </w:tcPr>
          <w:p w14:paraId="0C75C8A3">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1/april/2022-31/march/2023</w:t>
            </w:r>
          </w:p>
        </w:tc>
        <w:tc>
          <w:tcPr>
            <w:tcW w:w="1307" w:type="dxa"/>
            <w:vAlign w:val="bottom"/>
          </w:tcPr>
          <w:p w14:paraId="3BA16258">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14,606</w:t>
            </w:r>
          </w:p>
        </w:tc>
        <w:tc>
          <w:tcPr>
            <w:tcW w:w="1417" w:type="dxa"/>
            <w:vAlign w:val="bottom"/>
          </w:tcPr>
          <w:p w14:paraId="49D1F93D">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1,858</w:t>
            </w:r>
          </w:p>
        </w:tc>
        <w:tc>
          <w:tcPr>
            <w:tcW w:w="1276" w:type="dxa"/>
            <w:vAlign w:val="bottom"/>
          </w:tcPr>
          <w:p w14:paraId="4DDCBBC9">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0</w:t>
            </w:r>
          </w:p>
        </w:tc>
        <w:tc>
          <w:tcPr>
            <w:tcW w:w="1417" w:type="dxa"/>
            <w:shd w:val="clear" w:color="auto" w:fill="auto"/>
            <w:tcMar>
              <w:top w:w="20" w:type="dxa"/>
              <w:left w:w="20" w:type="dxa"/>
              <w:bottom w:w="100" w:type="dxa"/>
              <w:right w:w="20" w:type="dxa"/>
            </w:tcMar>
            <w:vAlign w:val="bottom"/>
          </w:tcPr>
          <w:p w14:paraId="722F8F87">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n-US" w:eastAsia="zh-CN" w:bidi="ar"/>
              </w:rPr>
            </w:pPr>
            <w:r>
              <w:rPr>
                <w:rFonts w:hint="default" w:ascii="Arial Regular" w:hAnsi="Arial Regular" w:eastAsia="SimSun" w:cs="Arial Regular"/>
                <w:i w:val="0"/>
                <w:iCs w:val="0"/>
                <w:color w:val="000000"/>
                <w:kern w:val="0"/>
                <w:sz w:val="22"/>
                <w:szCs w:val="22"/>
                <w:highlight w:val="none"/>
                <w:u w:val="none"/>
                <w:lang w:val="en-US" w:eastAsia="zh-CN" w:bidi="ar"/>
              </w:rPr>
              <w:t>12,748</w:t>
            </w:r>
          </w:p>
        </w:tc>
      </w:tr>
      <w:tr w14:paraId="76B4BB7D">
        <w:trPr>
          <w:trHeight w:val="487" w:hRule="atLeast"/>
          <w:jc w:val="center"/>
        </w:trPr>
        <w:tc>
          <w:tcPr>
            <w:tcW w:w="2943" w:type="dxa"/>
            <w:shd w:val="clear" w:color="auto" w:fill="auto"/>
            <w:tcMar>
              <w:top w:w="20" w:type="dxa"/>
              <w:left w:w="20" w:type="dxa"/>
              <w:bottom w:w="100" w:type="dxa"/>
              <w:right w:w="20" w:type="dxa"/>
            </w:tcMar>
          </w:tcPr>
          <w:p w14:paraId="79B0197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Arial Regular" w:hAnsi="Arial Regular" w:eastAsia="SimSun" w:cs="Arial Regular"/>
                <w:b/>
                <w:bCs/>
                <w:i w:val="0"/>
                <w:iCs w:val="0"/>
                <w:color w:val="000000"/>
                <w:kern w:val="0"/>
                <w:sz w:val="22"/>
                <w:szCs w:val="22"/>
                <w:highlight w:val="none"/>
                <w:u w:val="none"/>
                <w:lang w:val="es-ES" w:eastAsia="zh-CN" w:bidi="ar"/>
              </w:rPr>
            </w:pPr>
            <w:r>
              <w:rPr>
                <w:rFonts w:hint="default" w:ascii="Arial Regular" w:hAnsi="Arial Regular" w:eastAsia="SimSun" w:cs="Arial Regular"/>
                <w:b/>
                <w:bCs/>
                <w:i w:val="0"/>
                <w:iCs w:val="0"/>
                <w:color w:val="000000"/>
                <w:kern w:val="0"/>
                <w:sz w:val="22"/>
                <w:szCs w:val="22"/>
                <w:highlight w:val="none"/>
                <w:u w:val="none"/>
                <w:lang w:val="en-US" w:eastAsia="zh-CN" w:bidi="ar"/>
              </w:rPr>
              <w:t>TOTAL</w:t>
            </w:r>
            <w:r>
              <w:rPr>
                <w:rFonts w:hint="default" w:ascii="Arial Regular" w:hAnsi="Arial Regular" w:eastAsia="SimSun" w:cs="Arial Regular"/>
                <w:b/>
                <w:bCs/>
                <w:i w:val="0"/>
                <w:iCs w:val="0"/>
                <w:color w:val="000000"/>
                <w:kern w:val="0"/>
                <w:sz w:val="22"/>
                <w:szCs w:val="22"/>
                <w:highlight w:val="none"/>
                <w:u w:val="none"/>
                <w:lang w:val="es-ES" w:eastAsia="zh-CN" w:bidi="ar"/>
              </w:rPr>
              <w:t xml:space="preserve"> (</w:t>
            </w:r>
            <w:r>
              <w:rPr>
                <w:b/>
                <w:bCs/>
                <w:highlight w:val="none"/>
                <w:lang w:val="en-US"/>
              </w:rPr>
              <w:t>tCO</w:t>
            </w:r>
            <w:r>
              <w:rPr>
                <w:b/>
                <w:bCs/>
                <w:highlight w:val="none"/>
                <w:vertAlign w:val="subscript"/>
                <w:lang w:val="en-US"/>
              </w:rPr>
              <w:t>2</w:t>
            </w:r>
            <w:r>
              <w:rPr>
                <w:b/>
                <w:bCs/>
                <w:highlight w:val="none"/>
                <w:lang w:val="en-US"/>
              </w:rPr>
              <w:t>e</w:t>
            </w:r>
            <w:r>
              <w:rPr>
                <w:rFonts w:hint="default"/>
                <w:b/>
                <w:bCs/>
                <w:highlight w:val="none"/>
                <w:lang w:val="es-ES"/>
              </w:rPr>
              <w:t>)</w:t>
            </w:r>
          </w:p>
        </w:tc>
        <w:tc>
          <w:tcPr>
            <w:tcW w:w="1307" w:type="dxa"/>
            <w:vAlign w:val="bottom"/>
          </w:tcPr>
          <w:p w14:paraId="658B6C93">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s-ES" w:eastAsia="zh-CN" w:bidi="ar"/>
              </w:rPr>
            </w:pPr>
            <w:r>
              <w:rPr>
                <w:rFonts w:hint="default" w:ascii="Arial Regular" w:hAnsi="Arial Regular" w:eastAsia="SimSun" w:cs="Arial Regular"/>
                <w:i w:val="0"/>
                <w:iCs w:val="0"/>
                <w:color w:val="000000"/>
                <w:kern w:val="0"/>
                <w:sz w:val="22"/>
                <w:szCs w:val="22"/>
                <w:highlight w:val="none"/>
                <w:u w:val="none"/>
                <w:lang w:val="es-ES" w:eastAsia="zh-CN" w:bidi="ar"/>
              </w:rPr>
              <w:t>68,094</w:t>
            </w:r>
          </w:p>
        </w:tc>
        <w:tc>
          <w:tcPr>
            <w:tcW w:w="1417" w:type="dxa"/>
            <w:vAlign w:val="bottom"/>
          </w:tcPr>
          <w:p w14:paraId="05F73FB5">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s-ES" w:eastAsia="zh-CN" w:bidi="ar"/>
              </w:rPr>
            </w:pPr>
            <w:r>
              <w:rPr>
                <w:rFonts w:hint="default" w:ascii="Arial Regular" w:hAnsi="Arial Regular" w:eastAsia="SimSun" w:cs="Arial Regular"/>
                <w:i w:val="0"/>
                <w:iCs w:val="0"/>
                <w:color w:val="000000"/>
                <w:kern w:val="0"/>
                <w:sz w:val="22"/>
                <w:szCs w:val="22"/>
                <w:highlight w:val="none"/>
                <w:u w:val="none"/>
                <w:lang w:val="es-ES" w:eastAsia="zh-CN" w:bidi="ar"/>
              </w:rPr>
              <w:t>8,520</w:t>
            </w:r>
          </w:p>
        </w:tc>
        <w:tc>
          <w:tcPr>
            <w:tcW w:w="1276" w:type="dxa"/>
            <w:vAlign w:val="bottom"/>
          </w:tcPr>
          <w:p w14:paraId="3818D316">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s-ES" w:eastAsia="zh-CN" w:bidi="ar"/>
              </w:rPr>
            </w:pPr>
          </w:p>
        </w:tc>
        <w:tc>
          <w:tcPr>
            <w:tcW w:w="1417" w:type="dxa"/>
            <w:shd w:val="clear" w:color="auto" w:fill="auto"/>
            <w:tcMar>
              <w:top w:w="20" w:type="dxa"/>
              <w:left w:w="20" w:type="dxa"/>
              <w:bottom w:w="100" w:type="dxa"/>
              <w:right w:w="20" w:type="dxa"/>
            </w:tcMar>
            <w:vAlign w:val="bottom"/>
          </w:tcPr>
          <w:p w14:paraId="1C89CB68">
            <w:pPr>
              <w:keepNext w:val="0"/>
              <w:keepLines w:val="0"/>
              <w:pageBreakBefore w:val="0"/>
              <w:widowControl/>
              <w:suppressLineNumbers w:val="0"/>
              <w:kinsoku/>
              <w:wordWrap/>
              <w:overflowPunct/>
              <w:topLinePunct w:val="0"/>
              <w:autoSpaceDE/>
              <w:autoSpaceDN/>
              <w:bidi w:val="0"/>
              <w:adjustRightInd/>
              <w:snapToGrid/>
              <w:spacing w:before="0" w:after="0"/>
              <w:jc w:val="center"/>
              <w:textAlignment w:val="bottom"/>
              <w:rPr>
                <w:rFonts w:hint="default" w:ascii="Arial Regular" w:hAnsi="Arial Regular" w:eastAsia="SimSun" w:cs="Arial Regular"/>
                <w:i w:val="0"/>
                <w:iCs w:val="0"/>
                <w:color w:val="000000"/>
                <w:kern w:val="0"/>
                <w:sz w:val="22"/>
                <w:szCs w:val="22"/>
                <w:highlight w:val="none"/>
                <w:u w:val="none"/>
                <w:lang w:val="es-ES" w:eastAsia="zh-CN" w:bidi="ar"/>
              </w:rPr>
            </w:pPr>
            <w:r>
              <w:rPr>
                <w:rFonts w:hint="default" w:ascii="Arial Regular" w:hAnsi="Arial Regular" w:eastAsia="SimSun" w:cs="Arial Regular"/>
                <w:i w:val="0"/>
                <w:iCs w:val="0"/>
                <w:color w:val="000000"/>
                <w:kern w:val="0"/>
                <w:sz w:val="22"/>
                <w:szCs w:val="22"/>
                <w:highlight w:val="none"/>
                <w:u w:val="none"/>
                <w:lang w:val="es-ES" w:eastAsia="zh-CN" w:bidi="ar"/>
              </w:rPr>
              <w:t>59,574</w:t>
            </w:r>
          </w:p>
        </w:tc>
      </w:tr>
    </w:tbl>
    <w:p w14:paraId="761DAEDB">
      <w:pPr>
        <w:rPr>
          <w:i/>
          <w:iCs/>
          <w:highlight w:val="none"/>
        </w:rPr>
      </w:pPr>
    </w:p>
    <w:p w14:paraId="1D7EDC63">
      <w:pPr>
        <w:pStyle w:val="3"/>
        <w:rPr>
          <w:highlight w:val="none"/>
        </w:rPr>
      </w:pPr>
      <w:bookmarkStart w:id="133" w:name="_Toc749045520"/>
      <w:r>
        <w:rPr>
          <w:highlight w:val="none"/>
        </w:rPr>
        <w:t>Comparison of actual emission reductions with estimates in the project document</w:t>
      </w:r>
      <w:bookmarkEnd w:id="133"/>
    </w:p>
    <w:p w14:paraId="70E42246">
      <w:pPr>
        <w:rPr>
          <w:rFonts w:hint="default"/>
          <w:highlight w:val="none"/>
        </w:rPr>
      </w:pPr>
      <w:r>
        <w:rPr>
          <w:rFonts w:hint="default"/>
          <w:highlight w:val="none"/>
        </w:rPr>
        <w:t>There is comparison because the first fourth periods of this projects are ex-ante and this is the first document presented to BCR.</w:t>
      </w:r>
    </w:p>
    <w:p w14:paraId="0A856CBA">
      <w:pPr>
        <w:rPr>
          <w:rFonts w:hint="default"/>
          <w:highlight w:val="none"/>
        </w:rPr>
      </w:pPr>
    </w:p>
    <w:p w14:paraId="64FA29F9">
      <w:pPr>
        <w:pStyle w:val="3"/>
        <w:ind w:left="720" w:hanging="720"/>
        <w:rPr>
          <w:highlight w:val="none"/>
        </w:rPr>
      </w:pPr>
      <w:bookmarkStart w:id="134" w:name="_Toc658915926"/>
      <w:r>
        <w:rPr>
          <w:highlight w:val="none"/>
        </w:rPr>
        <w:t>Remarks on difference from estimated value in the registered project document</w:t>
      </w:r>
      <w:bookmarkEnd w:id="134"/>
    </w:p>
    <w:p w14:paraId="0F9BD009">
      <w:pPr>
        <w:rPr>
          <w:b/>
          <w:bCs/>
          <w:color w:val="203864" w:themeColor="accent1" w:themeShade="80"/>
          <w:highlight w:val="none"/>
        </w:rPr>
      </w:pPr>
      <w:r>
        <w:rPr>
          <w:rFonts w:hint="default"/>
          <w:i w:val="0"/>
          <w:iCs w:val="0"/>
          <w:highlight w:val="none"/>
        </w:rPr>
        <w:t>There is no increase of the actual emission reduction because this is the first monitoring period.</w:t>
      </w:r>
    </w:p>
    <w:sectPr>
      <w:footerReference r:id="rId11" w:type="first"/>
      <w:headerReference r:id="rId10" w:type="default"/>
      <w:pgSz w:w="12240" w:h="15840"/>
      <w:pgMar w:top="1985" w:right="1871" w:bottom="1701" w:left="1871"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黑体">
    <w:altName w:val="黑体-简"/>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宋体-简"/>
    <w:panose1 w:val="02010600030101010101"/>
    <w:charset w:val="86"/>
    <w:family w:val="auto"/>
    <w:pitch w:val="default"/>
    <w:sig w:usb0="00000000" w:usb1="00000000" w:usb2="00000016" w:usb3="00000000" w:csb0="00040001" w:csb1="00000000"/>
  </w:font>
  <w:font w:name="等线 Light">
    <w:altName w:val="宋体-简"/>
    <w:panose1 w:val="00000000000000000000"/>
    <w:charset w:val="00"/>
    <w:family w:val="auto"/>
    <w:pitch w:val="default"/>
    <w:sig w:usb0="00000000" w:usb1="00000000" w:usb2="00000000" w:usb3="00000000" w:csb0="00000000" w:csb1="00000000"/>
  </w:font>
  <w:font w:name="Arial Narrow">
    <w:panose1 w:val="020B0706020202030204"/>
    <w:charset w:val="00"/>
    <w:family w:val="swiss"/>
    <w:pitch w:val="default"/>
    <w:sig w:usb0="00000287" w:usb1="00000800" w:usb2="00000000" w:usb3="00000000" w:csb0="2000009F" w:csb1="DFD70000"/>
  </w:font>
  <w:font w:name="Calibri Light">
    <w:altName w:val="Helvetica Neue"/>
    <w:panose1 w:val="020F0302020204030204"/>
    <w:charset w:val="00"/>
    <w:family w:val="swiss"/>
    <w:pitch w:val="default"/>
    <w:sig w:usb0="00000000" w:usb1="00000000" w:usb2="00000009" w:usb3="00000000" w:csb0="000001FF" w:csb1="00000000"/>
  </w:font>
  <w:font w:name="等线">
    <w:altName w:val="宋体-简"/>
    <w:panose1 w:val="00000000000000000000"/>
    <w:charset w:val="00"/>
    <w:family w:val="auto"/>
    <w:pitch w:val="default"/>
    <w:sig w:usb0="00000000" w:usb1="00000000" w:usb2="00000000" w:usb3="00000000" w:csb0="00000000" w:csb1="00000000"/>
  </w:font>
  <w:font w:name="Franklin Gothic Book">
    <w:altName w:val="苹方-简"/>
    <w:panose1 w:val="020B0503020102020204"/>
    <w:charset w:val="00"/>
    <w:family w:val="swiss"/>
    <w:pitch w:val="default"/>
    <w:sig w:usb0="00000000" w:usb1="00000000" w:usb2="00000000" w:usb3="00000000" w:csb0="0000009F" w:csb1="00000000"/>
  </w:font>
  <w:font w:name="Century Gothic">
    <w:altName w:val="苹方-简"/>
    <w:panose1 w:val="020B0502020202020204"/>
    <w:charset w:val="00"/>
    <w:family w:val="swiss"/>
    <w:pitch w:val="default"/>
    <w:sig w:usb0="00000000" w:usb1="00000000" w:usb2="00000000" w:usb3="00000000" w:csb0="0000009F" w:csb1="00000000"/>
  </w:font>
  <w:font w:name="MS Mincho">
    <w:altName w:val="Hiragino Sans"/>
    <w:panose1 w:val="02020609040205080304"/>
    <w:charset w:val="80"/>
    <w:family w:val="modern"/>
    <w:pitch w:val="default"/>
    <w:sig w:usb0="00000000" w:usb1="00000000" w:usb2="08000012" w:usb3="00000000" w:csb0="0002009F" w:csb1="00000000"/>
  </w:font>
  <w:font w:name="Times New Roman Bold">
    <w:panose1 w:val="02020603050405020304"/>
    <w:charset w:val="00"/>
    <w:family w:val="roman"/>
    <w:pitch w:val="default"/>
    <w:sig w:usb0="E0002AEF" w:usb1="C0007841" w:usb2="00000009" w:usb3="00000000" w:csb0="400001FF" w:csb1="FFFF0000"/>
  </w:font>
  <w:font w:name="Segoe UI">
    <w:altName w:val="苹方-简"/>
    <w:panose1 w:val="020B0502040204020203"/>
    <w:charset w:val="00"/>
    <w:family w:val="swiss"/>
    <w:pitch w:val="default"/>
    <w:sig w:usb0="00000000" w:usb1="00000000" w:usb2="00000009" w:usb3="00000000" w:csb0="000001FF" w:csb1="00000000"/>
  </w:font>
  <w:font w:name="Symbol">
    <w:altName w:val="Kingsoft Sign"/>
    <w:panose1 w:val="05050102010706020507"/>
    <w:charset w:val="02"/>
    <w:family w:val="roman"/>
    <w:pitch w:val="default"/>
    <w:sig w:usb0="00000000" w:usb1="00000000" w:usb2="00000000" w:usb3="00000000" w:csb0="80000000" w:csb1="00000000"/>
  </w:font>
  <w:font w:name="Arial Bold">
    <w:panose1 w:val="020B0704020202020204"/>
    <w:charset w:val="00"/>
    <w:family w:val="auto"/>
    <w:pitch w:val="default"/>
    <w:sig w:usb0="E0002AFF" w:usb1="C0007843" w:usb2="00000009" w:usb3="00000000" w:csb0="400001FF" w:csb1="FFFF0000"/>
  </w:font>
  <w:font w:name="helvetica">
    <w:panose1 w:val="00000000000000000000"/>
    <w:charset w:val="00"/>
    <w:family w:val="auto"/>
    <w:pitch w:val="default"/>
    <w:sig w:usb0="E00002FF" w:usb1="5000785B" w:usb2="00000000" w:usb3="00000000" w:csb0="2000019F" w:csb1="4F010000"/>
  </w:font>
  <w:font w:name="Helvetica Bold">
    <w:panose1 w:val="00000000000000000000"/>
    <w:charset w:val="00"/>
    <w:family w:val="auto"/>
    <w:pitch w:val="default"/>
    <w:sig w:usb0="E00002FF" w:usb1="5000785B" w:usb2="00000000" w:usb3="00000000" w:csb0="2000019F" w:csb1="4F010000"/>
  </w:font>
  <w:font w:name="Arial Regular">
    <w:panose1 w:val="020B0704020202020204"/>
    <w:charset w:val="00"/>
    <w:family w:val="auto"/>
    <w:pitch w:val="default"/>
    <w:sig w:usb0="E0002AFF" w:usb1="C0007843" w:usb2="00000009" w:usb3="00000000" w:csb0="400001FF" w:csb1="FFFF0000"/>
  </w:font>
  <w:font w:name="Noto Sans Symbols">
    <w:altName w:val="苹方-简"/>
    <w:panose1 w:val="00000000000000000000"/>
    <w:charset w:val="00"/>
    <w:family w:val="auto"/>
    <w:pitch w:val="default"/>
    <w:sig w:usb0="00000000" w:usb1="00000000" w:usb2="00000000" w:usb3="00000000" w:csb0="00000000" w:csb1="00000000"/>
  </w:font>
  <w:font w:name="Cambria Math">
    <w:altName w:val="Kingsoft Math"/>
    <w:panose1 w:val="02040503050406030204"/>
    <w:charset w:val="00"/>
    <w:family w:val="roman"/>
    <w:pitch w:val="default"/>
    <w:sig w:usb0="00000000" w:usb1="00000000" w:usb2="02000000" w:usb3="00000000" w:csb0="0000019F" w:csb1="00000000"/>
  </w:font>
  <w:font w:name="+mn-cs">
    <w:altName w:val="苹方-简"/>
    <w:panose1 w:val="00000000000000000000"/>
    <w:charset w:val="00"/>
    <w:family w:val="roman"/>
    <w:pitch w:val="default"/>
    <w:sig w:usb0="00000000" w:usb1="00000000" w:usb2="00000000" w:usb3="00000000" w:csb0="00000000" w:csb1="00000000"/>
  </w:font>
  <w:font w:name="Arial Unicode MS">
    <w:panose1 w:val="020B0604020202020204"/>
    <w:charset w:val="80"/>
    <w:family w:val="swiss"/>
    <w:pitch w:val="default"/>
    <w:sig w:usb0="FFFFFFFF" w:usb1="E9FFFFFF" w:usb2="0000003F" w:usb3="00000000" w:csb0="603F01FF" w:csb1="FFFF0000"/>
  </w:font>
  <w:font w:name="宋体-简">
    <w:panose1 w:val="02010800040101010101"/>
    <w:charset w:val="86"/>
    <w:family w:val="auto"/>
    <w:pitch w:val="default"/>
    <w:sig w:usb0="00000001" w:usb1="080F0000" w:usb2="00000000" w:usb3="00000000" w:csb0="00040000" w:csb1="00000000"/>
  </w:font>
  <w:font w:name="Hiragino Sans GB">
    <w:panose1 w:val="020B0300000000000000"/>
    <w:charset w:val="86"/>
    <w:family w:val="auto"/>
    <w:pitch w:val="default"/>
    <w:sig w:usb0="A00002BF" w:usb1="1ACF7CFA" w:usb2="00000016" w:usb3="00000000" w:csb0="00060007" w:csb1="00000000"/>
  </w:font>
  <w:font w:name="苹方-简">
    <w:altName w:val="Times New Roman"/>
    <w:panose1 w:val="020B0600000000000000"/>
    <w:charset w:val="00"/>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Kingsoft Math">
    <w:panose1 w:val="02040503050406030204"/>
    <w:charset w:val="00"/>
    <w:family w:val="auto"/>
    <w:pitch w:val="default"/>
    <w:sig w:usb0="80000087" w:usb1="00002068"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Kingsoft Sign">
    <w:panose1 w:val="05050102010706020507"/>
    <w:charset w:val="00"/>
    <w:family w:val="auto"/>
    <w:pitch w:val="default"/>
    <w:sig w:usb0="00000000" w:usb1="10000000" w:usb2="00000000" w:usb3="00000000" w:csb0="00000001" w:csb1="00000000"/>
  </w:font>
  <w:font w:name="Hiragino Sans">
    <w:panose1 w:val="020B0700000000000000"/>
    <w:charset w:val="80"/>
    <w:family w:val="auto"/>
    <w:pitch w:val="default"/>
    <w:sig w:usb0="800002CF" w:usb1="6AC7FCFC" w:usb2="00000012" w:usb3="00000000" w:csb0="0002000D" w:csb1="00000000"/>
  </w:font>
  <w:font w:name="黑体-简">
    <w:panose1 w:val="00000000000000000000"/>
    <w:charset w:val="86"/>
    <w:family w:val="auto"/>
    <w:pitch w:val="default"/>
    <w:sig w:usb0="8000002F" w:usb1="0800004A" w:usb2="00000000" w:usb3="00000000" w:csb0="203E0000" w:csb1="00000000"/>
  </w:font>
  <w:font w:name="sans-serif">
    <w:altName w:val="苹方-简"/>
    <w:panose1 w:val="00000000000000000000"/>
    <w:charset w:val="00"/>
    <w:family w:val="auto"/>
    <w:pitch w:val="default"/>
    <w:sig w:usb0="00000000" w:usb1="00000000" w:usb2="00000000" w:usb3="00000000" w:csb0="00000000" w:csb1="00000000"/>
  </w:font>
  <w:font w:name="Arial Italic">
    <w:panose1 w:val="020B07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90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23"/>
      <w:gridCol w:w="5244"/>
    </w:tblGrid>
    <w:tr w14:paraId="047CFF41">
      <w:tc>
        <w:tcPr>
          <w:tcW w:w="3823" w:type="dxa"/>
        </w:tcPr>
        <w:p w14:paraId="58403077">
          <w:pPr>
            <w:pStyle w:val="16"/>
            <w:rPr>
              <w:sz w:val="18"/>
              <w:szCs w:val="18"/>
            </w:rPr>
          </w:pPr>
          <w:r>
            <w:rPr>
              <w:sz w:val="18"/>
              <w:szCs w:val="18"/>
            </w:rPr>
            <w:t>Version 1.0</w:t>
          </w:r>
        </w:p>
      </w:tc>
      <w:tc>
        <w:tcPr>
          <w:tcW w:w="5244" w:type="dxa"/>
        </w:tcPr>
        <w:p w14:paraId="31903639">
          <w:pPr>
            <w:pStyle w:val="16"/>
            <w:jc w:val="right"/>
            <w:rPr>
              <w:sz w:val="18"/>
              <w:szCs w:val="18"/>
            </w:rPr>
          </w:pP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 xml:space="preserve">1 </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18</w:t>
          </w:r>
          <w:r>
            <w:rPr>
              <w:sz w:val="18"/>
              <w:szCs w:val="18"/>
            </w:rPr>
            <w:fldChar w:fldCharType="end"/>
          </w:r>
        </w:p>
      </w:tc>
    </w:tr>
  </w:tbl>
  <w:p w14:paraId="3DD0292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3"/>
      </w:rPr>
      <w:id w:val="42327896"/>
      <w:docPartObj>
        <w:docPartGallery w:val="autotext"/>
      </w:docPartObj>
    </w:sdtPr>
    <w:sdtEndPr>
      <w:rPr>
        <w:rStyle w:val="23"/>
      </w:rPr>
    </w:sdtEndPr>
    <w:sdtContent>
      <w:p w14:paraId="026A73D0">
        <w:pPr>
          <w:pStyle w:val="16"/>
          <w:rPr>
            <w:rStyle w:val="23"/>
          </w:rPr>
        </w:pPr>
        <w:r>
          <w:rPr>
            <w:rStyle w:val="23"/>
          </w:rPr>
          <w:fldChar w:fldCharType="begin"/>
        </w:r>
        <w:r>
          <w:rPr>
            <w:rStyle w:val="23"/>
          </w:rPr>
          <w:instrText xml:space="preserve"> PAGE </w:instrText>
        </w:r>
        <w:r>
          <w:rPr>
            <w:rStyle w:val="23"/>
          </w:rPr>
          <w:fldChar w:fldCharType="end"/>
        </w:r>
      </w:p>
    </w:sdtContent>
  </w:sdt>
  <w:p w14:paraId="7A265E02">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90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23"/>
      <w:gridCol w:w="5244"/>
    </w:tblGrid>
    <w:tr w14:paraId="0AA9D63E">
      <w:tc>
        <w:tcPr>
          <w:tcW w:w="3823" w:type="dxa"/>
        </w:tcPr>
        <w:p w14:paraId="4DC5D028">
          <w:pPr>
            <w:pStyle w:val="16"/>
            <w:rPr>
              <w:sz w:val="20"/>
              <w:szCs w:val="20"/>
            </w:rPr>
          </w:pPr>
          <w:r>
            <w:rPr>
              <w:sz w:val="20"/>
              <w:szCs w:val="20"/>
            </w:rPr>
            <w:t>Version 1.0</w:t>
          </w:r>
        </w:p>
      </w:tc>
      <w:tc>
        <w:tcPr>
          <w:tcW w:w="5244" w:type="dxa"/>
        </w:tcPr>
        <w:p w14:paraId="38CF7AE1">
          <w:pPr>
            <w:pStyle w:val="16"/>
            <w:jc w:val="right"/>
            <w:rPr>
              <w:sz w:val="20"/>
              <w:szCs w:val="20"/>
            </w:rPr>
          </w:pPr>
          <w:r>
            <w:rPr>
              <w:sz w:val="20"/>
              <w:szCs w:val="20"/>
            </w:rPr>
            <w:t xml:space="preserve">Page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 xml:space="preserve">1 </w:t>
          </w:r>
          <w:r>
            <w:rPr>
              <w:sz w:val="20"/>
              <w:szCs w:val="20"/>
            </w:rPr>
            <w:fldChar w:fldCharType="end"/>
          </w:r>
          <w:r>
            <w:rPr>
              <w:sz w:val="20"/>
              <w:szCs w:val="20"/>
            </w:rPr>
            <w:t xml:space="preserve"> of </w:t>
          </w:r>
          <w:r>
            <w:rPr>
              <w:sz w:val="20"/>
              <w:szCs w:val="20"/>
            </w:rPr>
            <w:fldChar w:fldCharType="begin"/>
          </w:r>
          <w:r>
            <w:rPr>
              <w:sz w:val="20"/>
              <w:szCs w:val="20"/>
            </w:rPr>
            <w:instrText xml:space="preserve"> NUMPAGES   \* MERGEFORMAT </w:instrText>
          </w:r>
          <w:r>
            <w:rPr>
              <w:sz w:val="20"/>
              <w:szCs w:val="20"/>
            </w:rPr>
            <w:fldChar w:fldCharType="separate"/>
          </w:r>
          <w:r>
            <w:rPr>
              <w:sz w:val="20"/>
              <w:szCs w:val="20"/>
            </w:rPr>
            <w:t>18</w:t>
          </w:r>
          <w:r>
            <w:rPr>
              <w:sz w:val="20"/>
              <w:szCs w:val="20"/>
            </w:rPr>
            <w:fldChar w:fldCharType="end"/>
          </w:r>
        </w:p>
      </w:tc>
    </w:tr>
  </w:tbl>
  <w:p w14:paraId="7D918023">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27077">
    <w:pPr>
      <w:pStyle w:val="16"/>
      <w:jc w:val="right"/>
    </w:pPr>
    <w:r>
      <w:rPr>
        <w:rFonts w:ascii="Century Gothic" w:hAnsi="Century Gothic"/>
        <w:color w:val="262626"/>
      </w:rPr>
      <w:fldChar w:fldCharType="begin"/>
    </w:r>
    <w:r>
      <w:rPr>
        <w:rFonts w:ascii="Century Gothic" w:hAnsi="Century Gothic"/>
        <w:color w:val="262626"/>
      </w:rPr>
      <w:instrText xml:space="preserve"> PAGE   \* MERGEFORMAT </w:instrText>
    </w:r>
    <w:r>
      <w:rPr>
        <w:rFonts w:ascii="Century Gothic" w:hAnsi="Century Gothic"/>
        <w:color w:val="262626"/>
      </w:rPr>
      <w:fldChar w:fldCharType="separate"/>
    </w:r>
    <w:r>
      <w:rPr>
        <w:rFonts w:ascii="Century Gothic" w:hAnsi="Century Gothic"/>
        <w:color w:val="262626"/>
      </w:rPr>
      <w:t>4</w:t>
    </w:r>
    <w:r>
      <w:rPr>
        <w:rFonts w:ascii="Century Gothic" w:hAnsi="Century Gothic"/>
        <w:color w:val="2626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86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44"/>
      <w:gridCol w:w="4380"/>
    </w:tblGrid>
    <w:tr w14:paraId="7A639992">
      <w:tc>
        <w:tcPr>
          <w:tcW w:w="4244" w:type="dxa"/>
          <w:vAlign w:val="center"/>
        </w:tcPr>
        <w:p w14:paraId="2EB8F75E">
          <w:pPr>
            <w:pStyle w:val="19"/>
            <w:spacing w:before="0"/>
            <w:rPr>
              <w:i/>
              <w:iCs/>
              <w:color w:val="767171" w:themeColor="background2" w:themeShade="80"/>
            </w:rPr>
          </w:pPr>
          <w:r>
            <w:rPr>
              <w:i/>
              <w:iCs/>
              <w:color w:val="767171" w:themeColor="background2" w:themeShade="80"/>
            </w:rPr>
            <w:t>Monitoring Report Template</w:t>
          </w:r>
        </w:p>
      </w:tc>
      <w:tc>
        <w:tcPr>
          <w:tcW w:w="4380" w:type="dxa"/>
          <w:vAlign w:val="center"/>
        </w:tcPr>
        <w:p w14:paraId="08F6AD50">
          <w:pPr>
            <w:pStyle w:val="19"/>
            <w:jc w:val="right"/>
          </w:pPr>
          <w:r>
            <w:rPr>
              <w:lang w:eastAsia="es-CO"/>
            </w:rPr>
            <w:drawing>
              <wp:inline distT="0" distB="0" distL="0" distR="0">
                <wp:extent cx="2162810" cy="616585"/>
                <wp:effectExtent l="0" t="0" r="0" b="5715"/>
                <wp:docPr id="781081628" name="Imagen 78108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81628" name="Imagen 781081628"/>
                        <pic:cNvPicPr>
                          <a:picLocks noChangeAspect="1"/>
                        </pic:cNvPicPr>
                      </pic:nvPicPr>
                      <pic:blipFill>
                        <a:blip r:embed="rId1"/>
                        <a:stretch>
                          <a:fillRect/>
                        </a:stretch>
                      </pic:blipFill>
                      <pic:spPr>
                        <a:xfrm>
                          <a:off x="0" y="0"/>
                          <a:ext cx="2162810" cy="616585"/>
                        </a:xfrm>
                        <a:prstGeom prst="rect">
                          <a:avLst/>
                        </a:prstGeom>
                      </pic:spPr>
                    </pic:pic>
                  </a:graphicData>
                </a:graphic>
              </wp:inline>
            </w:drawing>
          </w:r>
        </w:p>
      </w:tc>
    </w:tr>
  </w:tbl>
  <w:p w14:paraId="64B07AEE">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86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44"/>
      <w:gridCol w:w="4380"/>
    </w:tblGrid>
    <w:tr w14:paraId="21E191DE">
      <w:tc>
        <w:tcPr>
          <w:tcW w:w="4244" w:type="dxa"/>
          <w:vAlign w:val="center"/>
        </w:tcPr>
        <w:p w14:paraId="607F475D">
          <w:pPr>
            <w:pStyle w:val="19"/>
            <w:spacing w:before="0"/>
            <w:rPr>
              <w:i/>
              <w:iCs/>
              <w:color w:val="767171" w:themeColor="background2" w:themeShade="80"/>
            </w:rPr>
          </w:pPr>
          <w:r>
            <w:rPr>
              <w:i/>
              <w:iCs/>
              <w:color w:val="767171" w:themeColor="background2" w:themeShade="80"/>
            </w:rPr>
            <w:t>Monitoring Report Template</w:t>
          </w:r>
        </w:p>
      </w:tc>
      <w:tc>
        <w:tcPr>
          <w:tcW w:w="4380" w:type="dxa"/>
          <w:vAlign w:val="center"/>
        </w:tcPr>
        <w:p w14:paraId="0DE1936E">
          <w:pPr>
            <w:pStyle w:val="19"/>
            <w:jc w:val="right"/>
          </w:pPr>
          <w:r>
            <w:rPr>
              <w:lang w:eastAsia="es-CO"/>
            </w:rPr>
            <w:drawing>
              <wp:inline distT="0" distB="0" distL="0" distR="0">
                <wp:extent cx="2162810" cy="6165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
                        <a:stretch>
                          <a:fillRect/>
                        </a:stretch>
                      </pic:blipFill>
                      <pic:spPr>
                        <a:xfrm>
                          <a:off x="0" y="0"/>
                          <a:ext cx="2162810" cy="616585"/>
                        </a:xfrm>
                        <a:prstGeom prst="rect">
                          <a:avLst/>
                        </a:prstGeom>
                      </pic:spPr>
                    </pic:pic>
                  </a:graphicData>
                </a:graphic>
              </wp:inline>
            </w:drawing>
          </w:r>
        </w:p>
      </w:tc>
    </w:tr>
  </w:tbl>
  <w:p w14:paraId="295B2B49">
    <w:pPr>
      <w:pStyle w:val="19"/>
      <w:spacing w:befor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86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44"/>
      <w:gridCol w:w="4380"/>
    </w:tblGrid>
    <w:tr w14:paraId="6DFF9A66">
      <w:tc>
        <w:tcPr>
          <w:tcW w:w="4244" w:type="dxa"/>
          <w:vAlign w:val="center"/>
        </w:tcPr>
        <w:p w14:paraId="5AB2B7F0">
          <w:pPr>
            <w:pStyle w:val="19"/>
            <w:spacing w:before="0"/>
            <w:rPr>
              <w:i/>
              <w:iCs/>
              <w:color w:val="767171" w:themeColor="background2" w:themeShade="80"/>
            </w:rPr>
          </w:pPr>
          <w:r>
            <w:rPr>
              <w:i/>
              <w:iCs/>
              <w:color w:val="767171" w:themeColor="background2" w:themeShade="80"/>
            </w:rPr>
            <w:t>Monitoring Report Template</w:t>
          </w:r>
        </w:p>
      </w:tc>
      <w:tc>
        <w:tcPr>
          <w:tcW w:w="4380" w:type="dxa"/>
          <w:vAlign w:val="center"/>
        </w:tcPr>
        <w:p w14:paraId="15475E76">
          <w:pPr>
            <w:pStyle w:val="19"/>
            <w:jc w:val="right"/>
          </w:pPr>
          <w:r>
            <w:rPr>
              <w:lang w:eastAsia="es-CO"/>
            </w:rPr>
            <w:drawing>
              <wp:inline distT="0" distB="0" distL="0" distR="0">
                <wp:extent cx="2162810" cy="6165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a:stretch>
                          <a:fillRect/>
                        </a:stretch>
                      </pic:blipFill>
                      <pic:spPr>
                        <a:xfrm>
                          <a:off x="0" y="0"/>
                          <a:ext cx="2162810" cy="616585"/>
                        </a:xfrm>
                        <a:prstGeom prst="rect">
                          <a:avLst/>
                        </a:prstGeom>
                      </pic:spPr>
                    </pic:pic>
                  </a:graphicData>
                </a:graphic>
              </wp:inline>
            </w:drawing>
          </w:r>
        </w:p>
      </w:tc>
    </w:tr>
  </w:tbl>
  <w:p w14:paraId="132DF2AF">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FE6E7B"/>
    <w:multiLevelType w:val="singleLevel"/>
    <w:tmpl w:val="AFFE6E7B"/>
    <w:lvl w:ilvl="0" w:tentative="0">
      <w:start w:val="1"/>
      <w:numFmt w:val="lowerLetter"/>
      <w:lvlText w:val="%1)"/>
      <w:lvlJc w:val="left"/>
      <w:pPr>
        <w:tabs>
          <w:tab w:val="left" w:pos="425"/>
        </w:tabs>
        <w:ind w:left="425" w:leftChars="0" w:hanging="425" w:firstLineChars="0"/>
      </w:pPr>
      <w:rPr>
        <w:rFonts w:hint="default"/>
      </w:rPr>
    </w:lvl>
  </w:abstractNum>
  <w:abstractNum w:abstractNumId="1">
    <w:nsid w:val="CD5B2F41"/>
    <w:multiLevelType w:val="singleLevel"/>
    <w:tmpl w:val="CD5B2F41"/>
    <w:lvl w:ilvl="0" w:tentative="0">
      <w:start w:val="1"/>
      <w:numFmt w:val="bullet"/>
      <w:lvlText w:val="−"/>
      <w:lvlJc w:val="left"/>
      <w:pPr>
        <w:tabs>
          <w:tab w:val="left" w:pos="420"/>
        </w:tabs>
        <w:ind w:left="418" w:leftChars="0" w:hanging="418" w:firstLineChars="0"/>
      </w:pPr>
      <w:rPr>
        <w:rFonts w:hint="default" w:ascii="Arial" w:hAnsi="Arial" w:cs="Arial"/>
      </w:rPr>
    </w:lvl>
  </w:abstractNum>
  <w:abstractNum w:abstractNumId="2">
    <w:nsid w:val="FF7D2FE5"/>
    <w:multiLevelType w:val="multilevel"/>
    <w:tmpl w:val="FF7D2FE5"/>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FFFFFF88"/>
    <w:multiLevelType w:val="singleLevel"/>
    <w:tmpl w:val="FFFFFF88"/>
    <w:lvl w:ilvl="0" w:tentative="0">
      <w:start w:val="1"/>
      <w:numFmt w:val="decimal"/>
      <w:pStyle w:val="21"/>
      <w:lvlText w:val="%1."/>
      <w:lvlJc w:val="left"/>
      <w:pPr>
        <w:tabs>
          <w:tab w:val="left" w:pos="360"/>
        </w:tabs>
        <w:ind w:left="360" w:hanging="360"/>
      </w:pPr>
    </w:lvl>
  </w:abstractNum>
  <w:abstractNum w:abstractNumId="4">
    <w:nsid w:val="0DEE1D54"/>
    <w:multiLevelType w:val="multilevel"/>
    <w:tmpl w:val="0DEE1D54"/>
    <w:lvl w:ilvl="0" w:tentative="0">
      <w:start w:val="1"/>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
    <w:nsid w:val="146E7E5F"/>
    <w:multiLevelType w:val="multilevel"/>
    <w:tmpl w:val="146E7E5F"/>
    <w:lvl w:ilvl="0" w:tentative="0">
      <w:start w:val="1"/>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D307696"/>
    <w:multiLevelType w:val="multilevel"/>
    <w:tmpl w:val="1D307696"/>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20B44A9E"/>
    <w:multiLevelType w:val="multilevel"/>
    <w:tmpl w:val="20B44A9E"/>
    <w:lvl w:ilvl="0" w:tentative="0">
      <w:start w:val="1"/>
      <w:numFmt w:val="upperRoman"/>
      <w:pStyle w:val="61"/>
      <w:suff w:val="space"/>
      <w:lvlText w:val="PART %1. "/>
      <w:lvlJc w:val="left"/>
      <w:pPr>
        <w:ind w:left="0" w:firstLine="0"/>
      </w:pPr>
      <w:rPr>
        <w:rFonts w:hint="default"/>
      </w:rPr>
    </w:lvl>
    <w:lvl w:ilvl="1" w:tentative="0">
      <w:start w:val="1"/>
      <w:numFmt w:val="upperLetter"/>
      <w:pStyle w:val="53"/>
      <w:suff w:val="space"/>
      <w:lvlText w:val="SECTION %2."/>
      <w:lvlJc w:val="left"/>
      <w:pPr>
        <w:ind w:left="0" w:firstLine="0"/>
      </w:pPr>
      <w:rPr>
        <w:rFonts w:hint="default"/>
      </w:rPr>
    </w:lvl>
    <w:lvl w:ilvl="2" w:tentative="0">
      <w:start w:val="1"/>
      <w:numFmt w:val="decimal"/>
      <w:pStyle w:val="54"/>
      <w:suff w:val="space"/>
      <w:lvlText w:val="%2.%3."/>
      <w:lvlJc w:val="left"/>
      <w:pPr>
        <w:ind w:left="0" w:firstLine="0"/>
      </w:pPr>
      <w:rPr>
        <w:rFonts w:hint="default"/>
        <w:i w:val="0"/>
      </w:rPr>
    </w:lvl>
    <w:lvl w:ilvl="3" w:tentative="0">
      <w:start w:val="1"/>
      <w:numFmt w:val="decimal"/>
      <w:pStyle w:val="55"/>
      <w:suff w:val="space"/>
      <w:lvlText w:val="%2.%3.%4."/>
      <w:lvlJc w:val="left"/>
      <w:pPr>
        <w:ind w:left="0" w:firstLine="0"/>
      </w:pPr>
      <w:rPr>
        <w:rFonts w:hint="default"/>
      </w:rPr>
    </w:lvl>
    <w:lvl w:ilvl="4" w:tentative="0">
      <w:start w:val="1"/>
      <w:numFmt w:val="decimal"/>
      <w:pStyle w:val="56"/>
      <w:suff w:val="space"/>
      <w:lvlText w:val="%2.%3.%4.%5."/>
      <w:lvlJc w:val="left"/>
      <w:pPr>
        <w:ind w:left="0" w:firstLine="0"/>
      </w:pPr>
      <w:rPr>
        <w:rFonts w:hint="default"/>
      </w:rPr>
    </w:lvl>
    <w:lvl w:ilvl="5" w:tentative="0">
      <w:start w:val="1"/>
      <w:numFmt w:val="decimal"/>
      <w:pStyle w:val="57"/>
      <w:suff w:val="space"/>
      <w:lvlText w:val="%2.%3.%4.%5.%6."/>
      <w:lvlJc w:val="left"/>
      <w:pPr>
        <w:ind w:left="0" w:firstLine="0"/>
      </w:pPr>
      <w:rPr>
        <w:rFonts w:hint="default"/>
      </w:rPr>
    </w:lvl>
    <w:lvl w:ilvl="6" w:tentative="0">
      <w:start w:val="1"/>
      <w:numFmt w:val="decimal"/>
      <w:pStyle w:val="58"/>
      <w:suff w:val="space"/>
      <w:lvlText w:val="%2.%3.%4.%5.%6.%7."/>
      <w:lvlJc w:val="left"/>
      <w:pPr>
        <w:ind w:left="1296" w:hanging="1296"/>
      </w:pPr>
      <w:rPr>
        <w:rFonts w:hint="default"/>
      </w:rPr>
    </w:lvl>
    <w:lvl w:ilvl="7" w:tentative="0">
      <w:start w:val="1"/>
      <w:numFmt w:val="decimal"/>
      <w:pStyle w:val="59"/>
      <w:suff w:val="space"/>
      <w:lvlText w:val="%2.%3.%4.%5.%6.%7.%8."/>
      <w:lvlJc w:val="left"/>
      <w:pPr>
        <w:ind w:left="0" w:firstLine="0"/>
      </w:pPr>
      <w:rPr>
        <w:rFonts w:hint="default"/>
      </w:rPr>
    </w:lvl>
    <w:lvl w:ilvl="8" w:tentative="0">
      <w:start w:val="1"/>
      <w:numFmt w:val="decimal"/>
      <w:pStyle w:val="60"/>
      <w:suff w:val="space"/>
      <w:lvlText w:val="%2.%3.%4.%5.%6.%7.%8.%9."/>
      <w:lvlJc w:val="left"/>
      <w:pPr>
        <w:ind w:left="0" w:firstLine="0"/>
      </w:pPr>
      <w:rPr>
        <w:rFonts w:hint="default"/>
      </w:rPr>
    </w:lvl>
  </w:abstractNum>
  <w:abstractNum w:abstractNumId="8">
    <w:nsid w:val="3AA9156E"/>
    <w:multiLevelType w:val="multilevel"/>
    <w:tmpl w:val="3AA9156E"/>
    <w:lvl w:ilvl="0" w:tentative="0">
      <w:start w:val="1"/>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52875604"/>
    <w:multiLevelType w:val="multilevel"/>
    <w:tmpl w:val="52875604"/>
    <w:lvl w:ilvl="0" w:tentative="0">
      <w:start w:val="1"/>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5AB76827"/>
    <w:multiLevelType w:val="multilevel"/>
    <w:tmpl w:val="5AB7682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DBE07A2"/>
    <w:multiLevelType w:val="multilevel"/>
    <w:tmpl w:val="5DBE07A2"/>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pStyle w:val="94"/>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2">
    <w:nsid w:val="62103E35"/>
    <w:multiLevelType w:val="multilevel"/>
    <w:tmpl w:val="62103E35"/>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6" w:hanging="576"/>
      </w:pPr>
      <w:rPr>
        <w:rFonts w:hint="default"/>
        <w:sz w:val="22"/>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abstractNum w:abstractNumId="13">
    <w:nsid w:val="69B51485"/>
    <w:multiLevelType w:val="multilevel"/>
    <w:tmpl w:val="69B51485"/>
    <w:lvl w:ilvl="0" w:tentative="0">
      <w:start w:val="1"/>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6EE46F02"/>
    <w:multiLevelType w:val="multilevel"/>
    <w:tmpl w:val="6EE46F0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7B6E03D0"/>
    <w:multiLevelType w:val="multilevel"/>
    <w:tmpl w:val="7B6E03D0"/>
    <w:lvl w:ilvl="0" w:tentative="0">
      <w:start w:val="1"/>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2"/>
  </w:num>
  <w:num w:numId="2">
    <w:abstractNumId w:val="3"/>
  </w:num>
  <w:num w:numId="3">
    <w:abstractNumId w:val="7"/>
  </w:num>
  <w:num w:numId="4">
    <w:abstractNumId w:val="11"/>
  </w:num>
  <w:num w:numId="5">
    <w:abstractNumId w:val="9"/>
  </w:num>
  <w:num w:numId="6">
    <w:abstractNumId w:val="6"/>
  </w:num>
  <w:num w:numId="7">
    <w:abstractNumId w:val="5"/>
  </w:num>
  <w:num w:numId="8">
    <w:abstractNumId w:val="8"/>
  </w:num>
  <w:num w:numId="9">
    <w:abstractNumId w:val="15"/>
  </w:num>
  <w:num w:numId="10">
    <w:abstractNumId w:val="4"/>
  </w:num>
  <w:num w:numId="11">
    <w:abstractNumId w:val="1"/>
  </w:num>
  <w:num w:numId="12">
    <w:abstractNumId w:val="14"/>
  </w:num>
  <w:num w:numId="13">
    <w:abstractNumId w:val="0"/>
  </w:num>
  <w:num w:numId="14">
    <w:abstractNumId w:val="2"/>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jQyNjU1tjA3NDM0MDJU0lEKTi0uzszPAykwrwUAGKrW5CwAAAA="/>
  </w:docVars>
  <w:rsids>
    <w:rsidRoot w:val="0003080F"/>
    <w:rsid w:val="000015B6"/>
    <w:rsid w:val="00021D99"/>
    <w:rsid w:val="0002439E"/>
    <w:rsid w:val="000300C6"/>
    <w:rsid w:val="0003080F"/>
    <w:rsid w:val="00033476"/>
    <w:rsid w:val="000409B1"/>
    <w:rsid w:val="00046900"/>
    <w:rsid w:val="0005310E"/>
    <w:rsid w:val="00053DB4"/>
    <w:rsid w:val="00054620"/>
    <w:rsid w:val="00056616"/>
    <w:rsid w:val="000622D4"/>
    <w:rsid w:val="00062E95"/>
    <w:rsid w:val="00071DB6"/>
    <w:rsid w:val="000723EE"/>
    <w:rsid w:val="00073AE5"/>
    <w:rsid w:val="00073E89"/>
    <w:rsid w:val="00076F2F"/>
    <w:rsid w:val="000844AA"/>
    <w:rsid w:val="00090352"/>
    <w:rsid w:val="00095198"/>
    <w:rsid w:val="00096851"/>
    <w:rsid w:val="000979A4"/>
    <w:rsid w:val="000A09A8"/>
    <w:rsid w:val="000A208B"/>
    <w:rsid w:val="000A228C"/>
    <w:rsid w:val="000A341F"/>
    <w:rsid w:val="000B0AFA"/>
    <w:rsid w:val="000B274B"/>
    <w:rsid w:val="000B3E5D"/>
    <w:rsid w:val="000B5C26"/>
    <w:rsid w:val="000C12B9"/>
    <w:rsid w:val="000C24F3"/>
    <w:rsid w:val="000C569B"/>
    <w:rsid w:val="000C62F5"/>
    <w:rsid w:val="000C6F5C"/>
    <w:rsid w:val="000D02A1"/>
    <w:rsid w:val="000D195E"/>
    <w:rsid w:val="000D521F"/>
    <w:rsid w:val="000E2DE0"/>
    <w:rsid w:val="000E3229"/>
    <w:rsid w:val="000E3926"/>
    <w:rsid w:val="000E401C"/>
    <w:rsid w:val="000E79B8"/>
    <w:rsid w:val="000E7A4F"/>
    <w:rsid w:val="000F1672"/>
    <w:rsid w:val="000F226B"/>
    <w:rsid w:val="000F47BB"/>
    <w:rsid w:val="0010158B"/>
    <w:rsid w:val="0010685D"/>
    <w:rsid w:val="00110189"/>
    <w:rsid w:val="001109FD"/>
    <w:rsid w:val="001134F7"/>
    <w:rsid w:val="00113747"/>
    <w:rsid w:val="001153BD"/>
    <w:rsid w:val="001212BD"/>
    <w:rsid w:val="00121959"/>
    <w:rsid w:val="00124E4F"/>
    <w:rsid w:val="00125895"/>
    <w:rsid w:val="001269DD"/>
    <w:rsid w:val="00127B56"/>
    <w:rsid w:val="0013020A"/>
    <w:rsid w:val="00130569"/>
    <w:rsid w:val="00130753"/>
    <w:rsid w:val="00130A22"/>
    <w:rsid w:val="001323A5"/>
    <w:rsid w:val="0013252A"/>
    <w:rsid w:val="00132794"/>
    <w:rsid w:val="001337ED"/>
    <w:rsid w:val="0013466D"/>
    <w:rsid w:val="001411C4"/>
    <w:rsid w:val="00141B89"/>
    <w:rsid w:val="00142BCC"/>
    <w:rsid w:val="00143233"/>
    <w:rsid w:val="00144850"/>
    <w:rsid w:val="00144DB6"/>
    <w:rsid w:val="00145725"/>
    <w:rsid w:val="00145831"/>
    <w:rsid w:val="00146B7A"/>
    <w:rsid w:val="00162340"/>
    <w:rsid w:val="0016490C"/>
    <w:rsid w:val="00167CAF"/>
    <w:rsid w:val="001710ED"/>
    <w:rsid w:val="00177097"/>
    <w:rsid w:val="00180A60"/>
    <w:rsid w:val="00181CF2"/>
    <w:rsid w:val="00183D01"/>
    <w:rsid w:val="0018482B"/>
    <w:rsid w:val="00184984"/>
    <w:rsid w:val="00185BDA"/>
    <w:rsid w:val="001927CE"/>
    <w:rsid w:val="00193304"/>
    <w:rsid w:val="00197473"/>
    <w:rsid w:val="001A071A"/>
    <w:rsid w:val="001A2E3B"/>
    <w:rsid w:val="001A5848"/>
    <w:rsid w:val="001A6F87"/>
    <w:rsid w:val="001A7A6A"/>
    <w:rsid w:val="001A7E2A"/>
    <w:rsid w:val="001B011C"/>
    <w:rsid w:val="001B4308"/>
    <w:rsid w:val="001B76A4"/>
    <w:rsid w:val="001B7FAD"/>
    <w:rsid w:val="001C13DE"/>
    <w:rsid w:val="001C386A"/>
    <w:rsid w:val="001D134F"/>
    <w:rsid w:val="001D1EAD"/>
    <w:rsid w:val="001D4F9F"/>
    <w:rsid w:val="001D573F"/>
    <w:rsid w:val="001D7554"/>
    <w:rsid w:val="001E161F"/>
    <w:rsid w:val="001E1AF9"/>
    <w:rsid w:val="001E1B09"/>
    <w:rsid w:val="001E2EC8"/>
    <w:rsid w:val="001E637F"/>
    <w:rsid w:val="001E72FB"/>
    <w:rsid w:val="001F13FE"/>
    <w:rsid w:val="001F4D71"/>
    <w:rsid w:val="001F55A1"/>
    <w:rsid w:val="001F7374"/>
    <w:rsid w:val="001F7779"/>
    <w:rsid w:val="0020138A"/>
    <w:rsid w:val="00211975"/>
    <w:rsid w:val="0021298F"/>
    <w:rsid w:val="00215DF9"/>
    <w:rsid w:val="00216FF6"/>
    <w:rsid w:val="00217F6F"/>
    <w:rsid w:val="002219C2"/>
    <w:rsid w:val="00222609"/>
    <w:rsid w:val="002266A1"/>
    <w:rsid w:val="00233370"/>
    <w:rsid w:val="002367DF"/>
    <w:rsid w:val="00236FCE"/>
    <w:rsid w:val="00242B84"/>
    <w:rsid w:val="00243272"/>
    <w:rsid w:val="002468B5"/>
    <w:rsid w:val="00246FB5"/>
    <w:rsid w:val="00247415"/>
    <w:rsid w:val="002478C5"/>
    <w:rsid w:val="0025041E"/>
    <w:rsid w:val="00253D65"/>
    <w:rsid w:val="002541F7"/>
    <w:rsid w:val="00254D43"/>
    <w:rsid w:val="00255D6D"/>
    <w:rsid w:val="002606F7"/>
    <w:rsid w:val="00261957"/>
    <w:rsid w:val="00263781"/>
    <w:rsid w:val="00265B2C"/>
    <w:rsid w:val="00265C7F"/>
    <w:rsid w:val="002667F2"/>
    <w:rsid w:val="00266E2D"/>
    <w:rsid w:val="00267115"/>
    <w:rsid w:val="0027193B"/>
    <w:rsid w:val="0027415C"/>
    <w:rsid w:val="0027418D"/>
    <w:rsid w:val="00274EA6"/>
    <w:rsid w:val="0027694F"/>
    <w:rsid w:val="00277FCA"/>
    <w:rsid w:val="002802A0"/>
    <w:rsid w:val="00282F52"/>
    <w:rsid w:val="002902D9"/>
    <w:rsid w:val="00291927"/>
    <w:rsid w:val="00292491"/>
    <w:rsid w:val="00292889"/>
    <w:rsid w:val="0029309C"/>
    <w:rsid w:val="002943BC"/>
    <w:rsid w:val="002947ED"/>
    <w:rsid w:val="0029519D"/>
    <w:rsid w:val="0029757B"/>
    <w:rsid w:val="00297CB1"/>
    <w:rsid w:val="002A106E"/>
    <w:rsid w:val="002A1244"/>
    <w:rsid w:val="002A27AD"/>
    <w:rsid w:val="002A2C9B"/>
    <w:rsid w:val="002A3EEA"/>
    <w:rsid w:val="002A6FEE"/>
    <w:rsid w:val="002A7CB3"/>
    <w:rsid w:val="002B4579"/>
    <w:rsid w:val="002B5847"/>
    <w:rsid w:val="002C45FE"/>
    <w:rsid w:val="002C7671"/>
    <w:rsid w:val="002D00EF"/>
    <w:rsid w:val="002D04AB"/>
    <w:rsid w:val="002D3778"/>
    <w:rsid w:val="002D5653"/>
    <w:rsid w:val="002E2F24"/>
    <w:rsid w:val="002E3EC5"/>
    <w:rsid w:val="002F51D0"/>
    <w:rsid w:val="002F6FA8"/>
    <w:rsid w:val="0030066E"/>
    <w:rsid w:val="00302320"/>
    <w:rsid w:val="00310762"/>
    <w:rsid w:val="00310D5B"/>
    <w:rsid w:val="00311E38"/>
    <w:rsid w:val="00312961"/>
    <w:rsid w:val="00314C5D"/>
    <w:rsid w:val="00314D58"/>
    <w:rsid w:val="00315C5C"/>
    <w:rsid w:val="003163D7"/>
    <w:rsid w:val="0031680A"/>
    <w:rsid w:val="003168EE"/>
    <w:rsid w:val="00317963"/>
    <w:rsid w:val="00320ABC"/>
    <w:rsid w:val="003232C4"/>
    <w:rsid w:val="00325A5C"/>
    <w:rsid w:val="00327821"/>
    <w:rsid w:val="003341EC"/>
    <w:rsid w:val="00334492"/>
    <w:rsid w:val="00335F75"/>
    <w:rsid w:val="00340614"/>
    <w:rsid w:val="003411DE"/>
    <w:rsid w:val="0034242E"/>
    <w:rsid w:val="003448DD"/>
    <w:rsid w:val="0034650F"/>
    <w:rsid w:val="003546B9"/>
    <w:rsid w:val="003560CC"/>
    <w:rsid w:val="00356B7F"/>
    <w:rsid w:val="0035729F"/>
    <w:rsid w:val="003614B4"/>
    <w:rsid w:val="00365531"/>
    <w:rsid w:val="00366058"/>
    <w:rsid w:val="0036647D"/>
    <w:rsid w:val="00372E05"/>
    <w:rsid w:val="00373203"/>
    <w:rsid w:val="00374C3D"/>
    <w:rsid w:val="00375F32"/>
    <w:rsid w:val="0038061D"/>
    <w:rsid w:val="003840DC"/>
    <w:rsid w:val="003847E0"/>
    <w:rsid w:val="00386B3F"/>
    <w:rsid w:val="00390747"/>
    <w:rsid w:val="00392153"/>
    <w:rsid w:val="00392A77"/>
    <w:rsid w:val="003963B3"/>
    <w:rsid w:val="003A0CFA"/>
    <w:rsid w:val="003A2B6A"/>
    <w:rsid w:val="003A38E7"/>
    <w:rsid w:val="003A5DB9"/>
    <w:rsid w:val="003A7CE1"/>
    <w:rsid w:val="003B0D53"/>
    <w:rsid w:val="003B1657"/>
    <w:rsid w:val="003C170D"/>
    <w:rsid w:val="003C1FB7"/>
    <w:rsid w:val="003C40FC"/>
    <w:rsid w:val="003C4127"/>
    <w:rsid w:val="003C6960"/>
    <w:rsid w:val="003C7984"/>
    <w:rsid w:val="003D0909"/>
    <w:rsid w:val="003D75DA"/>
    <w:rsid w:val="003D7844"/>
    <w:rsid w:val="003E102B"/>
    <w:rsid w:val="003E294B"/>
    <w:rsid w:val="003E3F67"/>
    <w:rsid w:val="003E4970"/>
    <w:rsid w:val="003E516D"/>
    <w:rsid w:val="003E5B72"/>
    <w:rsid w:val="003E5C40"/>
    <w:rsid w:val="003F2EAE"/>
    <w:rsid w:val="003F4367"/>
    <w:rsid w:val="004056BD"/>
    <w:rsid w:val="004064D1"/>
    <w:rsid w:val="00406776"/>
    <w:rsid w:val="00407A28"/>
    <w:rsid w:val="00412180"/>
    <w:rsid w:val="0041252E"/>
    <w:rsid w:val="00413AC9"/>
    <w:rsid w:val="00415D39"/>
    <w:rsid w:val="00424680"/>
    <w:rsid w:val="00426ADA"/>
    <w:rsid w:val="00426C4C"/>
    <w:rsid w:val="00427796"/>
    <w:rsid w:val="00432427"/>
    <w:rsid w:val="004329AA"/>
    <w:rsid w:val="00441035"/>
    <w:rsid w:val="00443F60"/>
    <w:rsid w:val="0044420C"/>
    <w:rsid w:val="004455C3"/>
    <w:rsid w:val="00445A98"/>
    <w:rsid w:val="00451C6E"/>
    <w:rsid w:val="00451FFD"/>
    <w:rsid w:val="00454AF3"/>
    <w:rsid w:val="00455419"/>
    <w:rsid w:val="00457A89"/>
    <w:rsid w:val="00460A44"/>
    <w:rsid w:val="004631E8"/>
    <w:rsid w:val="00463287"/>
    <w:rsid w:val="00465028"/>
    <w:rsid w:val="004651B4"/>
    <w:rsid w:val="004663AD"/>
    <w:rsid w:val="00490F51"/>
    <w:rsid w:val="004938C5"/>
    <w:rsid w:val="00493A6D"/>
    <w:rsid w:val="004A4D1F"/>
    <w:rsid w:val="004A7586"/>
    <w:rsid w:val="004A7AB6"/>
    <w:rsid w:val="004B1D01"/>
    <w:rsid w:val="004B2597"/>
    <w:rsid w:val="004B3CF5"/>
    <w:rsid w:val="004B5B8E"/>
    <w:rsid w:val="004C0781"/>
    <w:rsid w:val="004C3680"/>
    <w:rsid w:val="004C4B93"/>
    <w:rsid w:val="004D03B5"/>
    <w:rsid w:val="004D04C2"/>
    <w:rsid w:val="004E0230"/>
    <w:rsid w:val="004E0F60"/>
    <w:rsid w:val="004E3F5C"/>
    <w:rsid w:val="004E5FA5"/>
    <w:rsid w:val="004E6FF5"/>
    <w:rsid w:val="004F3819"/>
    <w:rsid w:val="004F5B77"/>
    <w:rsid w:val="004F6122"/>
    <w:rsid w:val="004F6E51"/>
    <w:rsid w:val="004F7711"/>
    <w:rsid w:val="00512A9E"/>
    <w:rsid w:val="00512B3E"/>
    <w:rsid w:val="00515591"/>
    <w:rsid w:val="00515597"/>
    <w:rsid w:val="005156D5"/>
    <w:rsid w:val="00515C10"/>
    <w:rsid w:val="00522471"/>
    <w:rsid w:val="00522995"/>
    <w:rsid w:val="005253AE"/>
    <w:rsid w:val="005347DB"/>
    <w:rsid w:val="00534B25"/>
    <w:rsid w:val="005358C2"/>
    <w:rsid w:val="00540709"/>
    <w:rsid w:val="00543017"/>
    <w:rsid w:val="00546B43"/>
    <w:rsid w:val="0056697F"/>
    <w:rsid w:val="00573DC5"/>
    <w:rsid w:val="005752D9"/>
    <w:rsid w:val="00580922"/>
    <w:rsid w:val="00581203"/>
    <w:rsid w:val="005844AB"/>
    <w:rsid w:val="0058651C"/>
    <w:rsid w:val="00591D18"/>
    <w:rsid w:val="005951F7"/>
    <w:rsid w:val="0059687F"/>
    <w:rsid w:val="005A4B6B"/>
    <w:rsid w:val="005A4C39"/>
    <w:rsid w:val="005A51F4"/>
    <w:rsid w:val="005A701A"/>
    <w:rsid w:val="005B3C56"/>
    <w:rsid w:val="005D1A5A"/>
    <w:rsid w:val="005D3505"/>
    <w:rsid w:val="005D5322"/>
    <w:rsid w:val="005D5B00"/>
    <w:rsid w:val="005E20CC"/>
    <w:rsid w:val="005E3C09"/>
    <w:rsid w:val="005E4311"/>
    <w:rsid w:val="005F1DFA"/>
    <w:rsid w:val="005F21A9"/>
    <w:rsid w:val="005F347C"/>
    <w:rsid w:val="005F34E1"/>
    <w:rsid w:val="005F3D97"/>
    <w:rsid w:val="005F50C1"/>
    <w:rsid w:val="005F6647"/>
    <w:rsid w:val="00600555"/>
    <w:rsid w:val="00600BEA"/>
    <w:rsid w:val="006018B9"/>
    <w:rsid w:val="0060260B"/>
    <w:rsid w:val="006026BC"/>
    <w:rsid w:val="00603402"/>
    <w:rsid w:val="00614C0B"/>
    <w:rsid w:val="0062270A"/>
    <w:rsid w:val="00623DD7"/>
    <w:rsid w:val="00626684"/>
    <w:rsid w:val="00626E10"/>
    <w:rsid w:val="0062726A"/>
    <w:rsid w:val="006311CA"/>
    <w:rsid w:val="00637B75"/>
    <w:rsid w:val="00641E5A"/>
    <w:rsid w:val="00642BCF"/>
    <w:rsid w:val="00644690"/>
    <w:rsid w:val="00645E85"/>
    <w:rsid w:val="006506DC"/>
    <w:rsid w:val="006508D5"/>
    <w:rsid w:val="00652AC0"/>
    <w:rsid w:val="0065459B"/>
    <w:rsid w:val="00655639"/>
    <w:rsid w:val="006564FF"/>
    <w:rsid w:val="00656DC2"/>
    <w:rsid w:val="0065732D"/>
    <w:rsid w:val="00660C91"/>
    <w:rsid w:val="0066165E"/>
    <w:rsid w:val="006625BB"/>
    <w:rsid w:val="00662B0B"/>
    <w:rsid w:val="00665B57"/>
    <w:rsid w:val="00666932"/>
    <w:rsid w:val="006672CC"/>
    <w:rsid w:val="006701E4"/>
    <w:rsid w:val="00675C1F"/>
    <w:rsid w:val="00676D9F"/>
    <w:rsid w:val="0068183F"/>
    <w:rsid w:val="006865F4"/>
    <w:rsid w:val="00686D5D"/>
    <w:rsid w:val="00690528"/>
    <w:rsid w:val="006925A1"/>
    <w:rsid w:val="0069317E"/>
    <w:rsid w:val="006947E3"/>
    <w:rsid w:val="00695C41"/>
    <w:rsid w:val="00695ED9"/>
    <w:rsid w:val="00696001"/>
    <w:rsid w:val="006A588B"/>
    <w:rsid w:val="006A5F3C"/>
    <w:rsid w:val="006B158C"/>
    <w:rsid w:val="006B2F70"/>
    <w:rsid w:val="006B3001"/>
    <w:rsid w:val="006C0581"/>
    <w:rsid w:val="006C0BB5"/>
    <w:rsid w:val="006C5E43"/>
    <w:rsid w:val="006C76C7"/>
    <w:rsid w:val="006D14D0"/>
    <w:rsid w:val="006D60E5"/>
    <w:rsid w:val="006D716B"/>
    <w:rsid w:val="006D7429"/>
    <w:rsid w:val="006D7A59"/>
    <w:rsid w:val="006E08E9"/>
    <w:rsid w:val="006E151A"/>
    <w:rsid w:val="006E4B3F"/>
    <w:rsid w:val="006E66DF"/>
    <w:rsid w:val="006F0BFC"/>
    <w:rsid w:val="006F10A2"/>
    <w:rsid w:val="006F11BE"/>
    <w:rsid w:val="006F5B97"/>
    <w:rsid w:val="00704576"/>
    <w:rsid w:val="0070651E"/>
    <w:rsid w:val="00707269"/>
    <w:rsid w:val="00707583"/>
    <w:rsid w:val="00710FFC"/>
    <w:rsid w:val="0071458E"/>
    <w:rsid w:val="0071636B"/>
    <w:rsid w:val="007168DB"/>
    <w:rsid w:val="00716F07"/>
    <w:rsid w:val="0071753A"/>
    <w:rsid w:val="00722209"/>
    <w:rsid w:val="00726BF9"/>
    <w:rsid w:val="00727C10"/>
    <w:rsid w:val="007341DA"/>
    <w:rsid w:val="00734AB0"/>
    <w:rsid w:val="007373FD"/>
    <w:rsid w:val="00737CD1"/>
    <w:rsid w:val="007527B4"/>
    <w:rsid w:val="007559E5"/>
    <w:rsid w:val="0076407F"/>
    <w:rsid w:val="0077015D"/>
    <w:rsid w:val="0077063E"/>
    <w:rsid w:val="00772ADD"/>
    <w:rsid w:val="00783038"/>
    <w:rsid w:val="007854C1"/>
    <w:rsid w:val="00787871"/>
    <w:rsid w:val="007958DD"/>
    <w:rsid w:val="00795DD0"/>
    <w:rsid w:val="00796297"/>
    <w:rsid w:val="007B29C3"/>
    <w:rsid w:val="007B53DC"/>
    <w:rsid w:val="007C199A"/>
    <w:rsid w:val="007C23FC"/>
    <w:rsid w:val="007C2518"/>
    <w:rsid w:val="007C2938"/>
    <w:rsid w:val="007C2C84"/>
    <w:rsid w:val="007D0A8D"/>
    <w:rsid w:val="007D67E1"/>
    <w:rsid w:val="007E6432"/>
    <w:rsid w:val="007E75AB"/>
    <w:rsid w:val="007F07EE"/>
    <w:rsid w:val="007F328D"/>
    <w:rsid w:val="007F33FD"/>
    <w:rsid w:val="007F353E"/>
    <w:rsid w:val="007F35F6"/>
    <w:rsid w:val="007F4062"/>
    <w:rsid w:val="007F428E"/>
    <w:rsid w:val="007F53E8"/>
    <w:rsid w:val="007F55A6"/>
    <w:rsid w:val="007F7732"/>
    <w:rsid w:val="00800A86"/>
    <w:rsid w:val="008010CF"/>
    <w:rsid w:val="00802784"/>
    <w:rsid w:val="008049AA"/>
    <w:rsid w:val="00806EEC"/>
    <w:rsid w:val="00811D07"/>
    <w:rsid w:val="008131B3"/>
    <w:rsid w:val="00813949"/>
    <w:rsid w:val="00815C2D"/>
    <w:rsid w:val="00816E31"/>
    <w:rsid w:val="00821564"/>
    <w:rsid w:val="00823D69"/>
    <w:rsid w:val="00824100"/>
    <w:rsid w:val="00824C48"/>
    <w:rsid w:val="0082721F"/>
    <w:rsid w:val="00827E60"/>
    <w:rsid w:val="008301ED"/>
    <w:rsid w:val="00830442"/>
    <w:rsid w:val="00835D90"/>
    <w:rsid w:val="00835EBB"/>
    <w:rsid w:val="0083650D"/>
    <w:rsid w:val="00837906"/>
    <w:rsid w:val="00837B9D"/>
    <w:rsid w:val="00842377"/>
    <w:rsid w:val="00844957"/>
    <w:rsid w:val="0084622A"/>
    <w:rsid w:val="00846B49"/>
    <w:rsid w:val="00847766"/>
    <w:rsid w:val="008538B5"/>
    <w:rsid w:val="00856449"/>
    <w:rsid w:val="00856B0D"/>
    <w:rsid w:val="008622D9"/>
    <w:rsid w:val="008716AD"/>
    <w:rsid w:val="00873049"/>
    <w:rsid w:val="00873D80"/>
    <w:rsid w:val="008741EA"/>
    <w:rsid w:val="00881222"/>
    <w:rsid w:val="00881B0E"/>
    <w:rsid w:val="0088219C"/>
    <w:rsid w:val="00882C60"/>
    <w:rsid w:val="00883033"/>
    <w:rsid w:val="00884884"/>
    <w:rsid w:val="00884DA7"/>
    <w:rsid w:val="00895526"/>
    <w:rsid w:val="008A02A3"/>
    <w:rsid w:val="008A28D7"/>
    <w:rsid w:val="008A32BA"/>
    <w:rsid w:val="008A51C5"/>
    <w:rsid w:val="008A5426"/>
    <w:rsid w:val="008B1A4C"/>
    <w:rsid w:val="008B40DA"/>
    <w:rsid w:val="008B53EC"/>
    <w:rsid w:val="008B550C"/>
    <w:rsid w:val="008C0299"/>
    <w:rsid w:val="008C20E2"/>
    <w:rsid w:val="008C2840"/>
    <w:rsid w:val="008C2FCB"/>
    <w:rsid w:val="008C3E4C"/>
    <w:rsid w:val="008C5312"/>
    <w:rsid w:val="008C7128"/>
    <w:rsid w:val="008C7B91"/>
    <w:rsid w:val="008D01EC"/>
    <w:rsid w:val="008D05D0"/>
    <w:rsid w:val="008D3674"/>
    <w:rsid w:val="008D4D3B"/>
    <w:rsid w:val="008D655B"/>
    <w:rsid w:val="008E3C26"/>
    <w:rsid w:val="008F2105"/>
    <w:rsid w:val="008F2838"/>
    <w:rsid w:val="008F3A40"/>
    <w:rsid w:val="00903F01"/>
    <w:rsid w:val="00905B74"/>
    <w:rsid w:val="00907F59"/>
    <w:rsid w:val="00911224"/>
    <w:rsid w:val="00911C00"/>
    <w:rsid w:val="00917964"/>
    <w:rsid w:val="009201F5"/>
    <w:rsid w:val="00921BAE"/>
    <w:rsid w:val="00924021"/>
    <w:rsid w:val="009272F2"/>
    <w:rsid w:val="00927350"/>
    <w:rsid w:val="00927924"/>
    <w:rsid w:val="00932F24"/>
    <w:rsid w:val="0093345D"/>
    <w:rsid w:val="009339C5"/>
    <w:rsid w:val="009371FE"/>
    <w:rsid w:val="0094776D"/>
    <w:rsid w:val="00951890"/>
    <w:rsid w:val="009535BE"/>
    <w:rsid w:val="00955CDB"/>
    <w:rsid w:val="009600F0"/>
    <w:rsid w:val="009608D8"/>
    <w:rsid w:val="00960F2B"/>
    <w:rsid w:val="0096233E"/>
    <w:rsid w:val="00962C41"/>
    <w:rsid w:val="00966A00"/>
    <w:rsid w:val="0096781C"/>
    <w:rsid w:val="00972DE6"/>
    <w:rsid w:val="009734CD"/>
    <w:rsid w:val="00976963"/>
    <w:rsid w:val="009812C1"/>
    <w:rsid w:val="00982492"/>
    <w:rsid w:val="00984BB9"/>
    <w:rsid w:val="0098558B"/>
    <w:rsid w:val="00986881"/>
    <w:rsid w:val="0098777A"/>
    <w:rsid w:val="00990B05"/>
    <w:rsid w:val="00990B13"/>
    <w:rsid w:val="00996467"/>
    <w:rsid w:val="009A0B69"/>
    <w:rsid w:val="009A753D"/>
    <w:rsid w:val="009B1295"/>
    <w:rsid w:val="009B1451"/>
    <w:rsid w:val="009B157C"/>
    <w:rsid w:val="009B45ED"/>
    <w:rsid w:val="009B5188"/>
    <w:rsid w:val="009B639E"/>
    <w:rsid w:val="009D5A86"/>
    <w:rsid w:val="009E794B"/>
    <w:rsid w:val="009F0242"/>
    <w:rsid w:val="009F1E40"/>
    <w:rsid w:val="00A00B05"/>
    <w:rsid w:val="00A00CDC"/>
    <w:rsid w:val="00A00EE8"/>
    <w:rsid w:val="00A03539"/>
    <w:rsid w:val="00A0390A"/>
    <w:rsid w:val="00A114C7"/>
    <w:rsid w:val="00A13856"/>
    <w:rsid w:val="00A15D46"/>
    <w:rsid w:val="00A22A03"/>
    <w:rsid w:val="00A2374B"/>
    <w:rsid w:val="00A24E6C"/>
    <w:rsid w:val="00A31905"/>
    <w:rsid w:val="00A3695C"/>
    <w:rsid w:val="00A401ED"/>
    <w:rsid w:val="00A40EC5"/>
    <w:rsid w:val="00A40F13"/>
    <w:rsid w:val="00A41F05"/>
    <w:rsid w:val="00A43ACE"/>
    <w:rsid w:val="00A46789"/>
    <w:rsid w:val="00A52964"/>
    <w:rsid w:val="00A63F0A"/>
    <w:rsid w:val="00A66512"/>
    <w:rsid w:val="00A72B8C"/>
    <w:rsid w:val="00A76C82"/>
    <w:rsid w:val="00A77C05"/>
    <w:rsid w:val="00A80C2B"/>
    <w:rsid w:val="00A83873"/>
    <w:rsid w:val="00A84DB2"/>
    <w:rsid w:val="00A870DD"/>
    <w:rsid w:val="00A92766"/>
    <w:rsid w:val="00A92983"/>
    <w:rsid w:val="00A92ED3"/>
    <w:rsid w:val="00AA1199"/>
    <w:rsid w:val="00AA534E"/>
    <w:rsid w:val="00AA5452"/>
    <w:rsid w:val="00AA57B8"/>
    <w:rsid w:val="00AA59DE"/>
    <w:rsid w:val="00AA7124"/>
    <w:rsid w:val="00AA782A"/>
    <w:rsid w:val="00AB0F0C"/>
    <w:rsid w:val="00AB1C6B"/>
    <w:rsid w:val="00AB32D2"/>
    <w:rsid w:val="00AB3425"/>
    <w:rsid w:val="00AC0A71"/>
    <w:rsid w:val="00AC34DE"/>
    <w:rsid w:val="00AC62F7"/>
    <w:rsid w:val="00AD3464"/>
    <w:rsid w:val="00AD37E5"/>
    <w:rsid w:val="00AD38AA"/>
    <w:rsid w:val="00AE0DA9"/>
    <w:rsid w:val="00AE3A57"/>
    <w:rsid w:val="00AE4468"/>
    <w:rsid w:val="00AE4C99"/>
    <w:rsid w:val="00AE588E"/>
    <w:rsid w:val="00AE5951"/>
    <w:rsid w:val="00AF2D3F"/>
    <w:rsid w:val="00AF3202"/>
    <w:rsid w:val="00AF583C"/>
    <w:rsid w:val="00AF6700"/>
    <w:rsid w:val="00AF75FB"/>
    <w:rsid w:val="00B0190A"/>
    <w:rsid w:val="00B0437E"/>
    <w:rsid w:val="00B047E7"/>
    <w:rsid w:val="00B05D44"/>
    <w:rsid w:val="00B06606"/>
    <w:rsid w:val="00B11307"/>
    <w:rsid w:val="00B13FB6"/>
    <w:rsid w:val="00B148B1"/>
    <w:rsid w:val="00B206F8"/>
    <w:rsid w:val="00B266E8"/>
    <w:rsid w:val="00B26763"/>
    <w:rsid w:val="00B31DCD"/>
    <w:rsid w:val="00B32A11"/>
    <w:rsid w:val="00B32FF7"/>
    <w:rsid w:val="00B40862"/>
    <w:rsid w:val="00B41A0B"/>
    <w:rsid w:val="00B43E88"/>
    <w:rsid w:val="00B475C9"/>
    <w:rsid w:val="00B50FB5"/>
    <w:rsid w:val="00B52525"/>
    <w:rsid w:val="00B52AAB"/>
    <w:rsid w:val="00B52F38"/>
    <w:rsid w:val="00B6118A"/>
    <w:rsid w:val="00B614B1"/>
    <w:rsid w:val="00B66249"/>
    <w:rsid w:val="00B67A87"/>
    <w:rsid w:val="00B74AEB"/>
    <w:rsid w:val="00B76036"/>
    <w:rsid w:val="00B806E5"/>
    <w:rsid w:val="00B81BE8"/>
    <w:rsid w:val="00B82C36"/>
    <w:rsid w:val="00B84207"/>
    <w:rsid w:val="00B92145"/>
    <w:rsid w:val="00BA3D3A"/>
    <w:rsid w:val="00BA79FB"/>
    <w:rsid w:val="00BB207A"/>
    <w:rsid w:val="00BB6497"/>
    <w:rsid w:val="00BC2F08"/>
    <w:rsid w:val="00BC4D85"/>
    <w:rsid w:val="00BC5561"/>
    <w:rsid w:val="00BC68D3"/>
    <w:rsid w:val="00BC718C"/>
    <w:rsid w:val="00BD0BDE"/>
    <w:rsid w:val="00BD3C5B"/>
    <w:rsid w:val="00BD65E6"/>
    <w:rsid w:val="00BE180B"/>
    <w:rsid w:val="00BE4F8A"/>
    <w:rsid w:val="00BE580E"/>
    <w:rsid w:val="00BF0646"/>
    <w:rsid w:val="00BF082E"/>
    <w:rsid w:val="00BF0E41"/>
    <w:rsid w:val="00BF2D61"/>
    <w:rsid w:val="00BF4A8E"/>
    <w:rsid w:val="00BF6717"/>
    <w:rsid w:val="00BF6A87"/>
    <w:rsid w:val="00BF7800"/>
    <w:rsid w:val="00C00BC2"/>
    <w:rsid w:val="00C0105A"/>
    <w:rsid w:val="00C022DE"/>
    <w:rsid w:val="00C02B89"/>
    <w:rsid w:val="00C102C1"/>
    <w:rsid w:val="00C1118C"/>
    <w:rsid w:val="00C1302D"/>
    <w:rsid w:val="00C1717D"/>
    <w:rsid w:val="00C2568F"/>
    <w:rsid w:val="00C339C0"/>
    <w:rsid w:val="00C36133"/>
    <w:rsid w:val="00C36986"/>
    <w:rsid w:val="00C411DA"/>
    <w:rsid w:val="00C42C17"/>
    <w:rsid w:val="00C44632"/>
    <w:rsid w:val="00C447E9"/>
    <w:rsid w:val="00C47068"/>
    <w:rsid w:val="00C54EB7"/>
    <w:rsid w:val="00C645E5"/>
    <w:rsid w:val="00C65B90"/>
    <w:rsid w:val="00C65C90"/>
    <w:rsid w:val="00C71E05"/>
    <w:rsid w:val="00C72BC2"/>
    <w:rsid w:val="00C7494A"/>
    <w:rsid w:val="00C753CC"/>
    <w:rsid w:val="00C75D03"/>
    <w:rsid w:val="00C76C72"/>
    <w:rsid w:val="00C840BC"/>
    <w:rsid w:val="00C842B0"/>
    <w:rsid w:val="00C8445A"/>
    <w:rsid w:val="00C8467D"/>
    <w:rsid w:val="00C84ABE"/>
    <w:rsid w:val="00C900DA"/>
    <w:rsid w:val="00C96CAB"/>
    <w:rsid w:val="00CA2E8F"/>
    <w:rsid w:val="00CA6347"/>
    <w:rsid w:val="00CA64B3"/>
    <w:rsid w:val="00CB1F71"/>
    <w:rsid w:val="00CB4C04"/>
    <w:rsid w:val="00CB5570"/>
    <w:rsid w:val="00CC0E7F"/>
    <w:rsid w:val="00CC10E7"/>
    <w:rsid w:val="00CC1508"/>
    <w:rsid w:val="00CC23F5"/>
    <w:rsid w:val="00CC26F5"/>
    <w:rsid w:val="00CC6E8F"/>
    <w:rsid w:val="00CC7877"/>
    <w:rsid w:val="00CD0098"/>
    <w:rsid w:val="00CD086F"/>
    <w:rsid w:val="00CD11CE"/>
    <w:rsid w:val="00CD260F"/>
    <w:rsid w:val="00CD3E17"/>
    <w:rsid w:val="00CD4A86"/>
    <w:rsid w:val="00CD64DF"/>
    <w:rsid w:val="00CD79A8"/>
    <w:rsid w:val="00CE0667"/>
    <w:rsid w:val="00CE0826"/>
    <w:rsid w:val="00CE0847"/>
    <w:rsid w:val="00CE4B98"/>
    <w:rsid w:val="00CE4C99"/>
    <w:rsid w:val="00CE75DA"/>
    <w:rsid w:val="00CF1C96"/>
    <w:rsid w:val="00CF59FA"/>
    <w:rsid w:val="00CF5ADF"/>
    <w:rsid w:val="00CF715C"/>
    <w:rsid w:val="00D01516"/>
    <w:rsid w:val="00D02A10"/>
    <w:rsid w:val="00D02BCF"/>
    <w:rsid w:val="00D035E2"/>
    <w:rsid w:val="00D061A3"/>
    <w:rsid w:val="00D124C8"/>
    <w:rsid w:val="00D13F90"/>
    <w:rsid w:val="00D147D9"/>
    <w:rsid w:val="00D221B7"/>
    <w:rsid w:val="00D232B7"/>
    <w:rsid w:val="00D243FD"/>
    <w:rsid w:val="00D26AF4"/>
    <w:rsid w:val="00D27505"/>
    <w:rsid w:val="00D321D5"/>
    <w:rsid w:val="00D346DC"/>
    <w:rsid w:val="00D34E4C"/>
    <w:rsid w:val="00D43850"/>
    <w:rsid w:val="00D438F1"/>
    <w:rsid w:val="00D459C4"/>
    <w:rsid w:val="00D46052"/>
    <w:rsid w:val="00D4605F"/>
    <w:rsid w:val="00D50144"/>
    <w:rsid w:val="00D5137F"/>
    <w:rsid w:val="00D52569"/>
    <w:rsid w:val="00D6052F"/>
    <w:rsid w:val="00D6150A"/>
    <w:rsid w:val="00D6292B"/>
    <w:rsid w:val="00D66D62"/>
    <w:rsid w:val="00D72BF1"/>
    <w:rsid w:val="00D73170"/>
    <w:rsid w:val="00D74E54"/>
    <w:rsid w:val="00D77947"/>
    <w:rsid w:val="00D90924"/>
    <w:rsid w:val="00D91E0D"/>
    <w:rsid w:val="00D96110"/>
    <w:rsid w:val="00DA187B"/>
    <w:rsid w:val="00DA2FCB"/>
    <w:rsid w:val="00DB5B6D"/>
    <w:rsid w:val="00DB6FC9"/>
    <w:rsid w:val="00DB6FF9"/>
    <w:rsid w:val="00DC0EB3"/>
    <w:rsid w:val="00DC295E"/>
    <w:rsid w:val="00DC4287"/>
    <w:rsid w:val="00DC5A84"/>
    <w:rsid w:val="00DC6861"/>
    <w:rsid w:val="00DD2944"/>
    <w:rsid w:val="00DD4DA0"/>
    <w:rsid w:val="00DE4A39"/>
    <w:rsid w:val="00DE6158"/>
    <w:rsid w:val="00DE6B2D"/>
    <w:rsid w:val="00DE6EAD"/>
    <w:rsid w:val="00DF4E39"/>
    <w:rsid w:val="00DF733A"/>
    <w:rsid w:val="00E02484"/>
    <w:rsid w:val="00E041B1"/>
    <w:rsid w:val="00E0591A"/>
    <w:rsid w:val="00E05A03"/>
    <w:rsid w:val="00E05E6D"/>
    <w:rsid w:val="00E06CEE"/>
    <w:rsid w:val="00E07053"/>
    <w:rsid w:val="00E11E93"/>
    <w:rsid w:val="00E12E40"/>
    <w:rsid w:val="00E13219"/>
    <w:rsid w:val="00E20FE6"/>
    <w:rsid w:val="00E21F2E"/>
    <w:rsid w:val="00E23128"/>
    <w:rsid w:val="00E23A09"/>
    <w:rsid w:val="00E263BE"/>
    <w:rsid w:val="00E31F47"/>
    <w:rsid w:val="00E338B8"/>
    <w:rsid w:val="00E3409F"/>
    <w:rsid w:val="00E34DEE"/>
    <w:rsid w:val="00E3628B"/>
    <w:rsid w:val="00E36C04"/>
    <w:rsid w:val="00E37857"/>
    <w:rsid w:val="00E40E0C"/>
    <w:rsid w:val="00E4383C"/>
    <w:rsid w:val="00E43D9D"/>
    <w:rsid w:val="00E44FDF"/>
    <w:rsid w:val="00E45406"/>
    <w:rsid w:val="00E50CD0"/>
    <w:rsid w:val="00E52A2C"/>
    <w:rsid w:val="00E53E86"/>
    <w:rsid w:val="00E54F35"/>
    <w:rsid w:val="00E55222"/>
    <w:rsid w:val="00E55F1A"/>
    <w:rsid w:val="00E6000C"/>
    <w:rsid w:val="00E64BF8"/>
    <w:rsid w:val="00E65DE5"/>
    <w:rsid w:val="00E66572"/>
    <w:rsid w:val="00E7042C"/>
    <w:rsid w:val="00E7227B"/>
    <w:rsid w:val="00E76D0B"/>
    <w:rsid w:val="00E82AA6"/>
    <w:rsid w:val="00E84A13"/>
    <w:rsid w:val="00E86000"/>
    <w:rsid w:val="00E87E0B"/>
    <w:rsid w:val="00E9048A"/>
    <w:rsid w:val="00E93829"/>
    <w:rsid w:val="00E93C52"/>
    <w:rsid w:val="00E94625"/>
    <w:rsid w:val="00E962CE"/>
    <w:rsid w:val="00E97F47"/>
    <w:rsid w:val="00EA0EC3"/>
    <w:rsid w:val="00EA7128"/>
    <w:rsid w:val="00EB1A9E"/>
    <w:rsid w:val="00EB279B"/>
    <w:rsid w:val="00EB316F"/>
    <w:rsid w:val="00EB620E"/>
    <w:rsid w:val="00EC2593"/>
    <w:rsid w:val="00EC2AC7"/>
    <w:rsid w:val="00EC3FA2"/>
    <w:rsid w:val="00EC45F7"/>
    <w:rsid w:val="00EC685C"/>
    <w:rsid w:val="00ED06EA"/>
    <w:rsid w:val="00ED0C0C"/>
    <w:rsid w:val="00ED5F45"/>
    <w:rsid w:val="00EE090F"/>
    <w:rsid w:val="00EE3A24"/>
    <w:rsid w:val="00EE5FB5"/>
    <w:rsid w:val="00EE7C13"/>
    <w:rsid w:val="00EF0823"/>
    <w:rsid w:val="00EF16F1"/>
    <w:rsid w:val="00EF2136"/>
    <w:rsid w:val="00EF2F37"/>
    <w:rsid w:val="00EF704A"/>
    <w:rsid w:val="00F00CE8"/>
    <w:rsid w:val="00F03072"/>
    <w:rsid w:val="00F045C8"/>
    <w:rsid w:val="00F06F44"/>
    <w:rsid w:val="00F079D9"/>
    <w:rsid w:val="00F147AB"/>
    <w:rsid w:val="00F15836"/>
    <w:rsid w:val="00F2397E"/>
    <w:rsid w:val="00F25EDB"/>
    <w:rsid w:val="00F270A1"/>
    <w:rsid w:val="00F27914"/>
    <w:rsid w:val="00F32389"/>
    <w:rsid w:val="00F340B3"/>
    <w:rsid w:val="00F3478B"/>
    <w:rsid w:val="00F355CC"/>
    <w:rsid w:val="00F35999"/>
    <w:rsid w:val="00F35ACF"/>
    <w:rsid w:val="00F37BA4"/>
    <w:rsid w:val="00F43B84"/>
    <w:rsid w:val="00F45B95"/>
    <w:rsid w:val="00F46B64"/>
    <w:rsid w:val="00F47193"/>
    <w:rsid w:val="00F53DA7"/>
    <w:rsid w:val="00F56943"/>
    <w:rsid w:val="00F60D24"/>
    <w:rsid w:val="00F6416E"/>
    <w:rsid w:val="00F66426"/>
    <w:rsid w:val="00F7559F"/>
    <w:rsid w:val="00F75981"/>
    <w:rsid w:val="00F76690"/>
    <w:rsid w:val="00F77F6F"/>
    <w:rsid w:val="00F81E36"/>
    <w:rsid w:val="00F84B9E"/>
    <w:rsid w:val="00F84F86"/>
    <w:rsid w:val="00F85B0F"/>
    <w:rsid w:val="00F97DFB"/>
    <w:rsid w:val="00FA00FB"/>
    <w:rsid w:val="00FA03DC"/>
    <w:rsid w:val="00FA18E3"/>
    <w:rsid w:val="00FA1DD7"/>
    <w:rsid w:val="00FA38E6"/>
    <w:rsid w:val="00FA6A6D"/>
    <w:rsid w:val="00FA7562"/>
    <w:rsid w:val="00FB190A"/>
    <w:rsid w:val="00FB506A"/>
    <w:rsid w:val="00FB692E"/>
    <w:rsid w:val="00FC0850"/>
    <w:rsid w:val="00FC214D"/>
    <w:rsid w:val="00FC3FA2"/>
    <w:rsid w:val="00FC4540"/>
    <w:rsid w:val="00FC45F1"/>
    <w:rsid w:val="00FC5EA4"/>
    <w:rsid w:val="00FD05A6"/>
    <w:rsid w:val="00FD0CFC"/>
    <w:rsid w:val="00FD2593"/>
    <w:rsid w:val="00FD6DFA"/>
    <w:rsid w:val="00FE2846"/>
    <w:rsid w:val="00FE2E7D"/>
    <w:rsid w:val="00FE3D33"/>
    <w:rsid w:val="00FE5789"/>
    <w:rsid w:val="0A06DA2B"/>
    <w:rsid w:val="1F7BA5B9"/>
    <w:rsid w:val="23D0E5B7"/>
    <w:rsid w:val="62FCC1D4"/>
    <w:rsid w:val="6DBB1CF0"/>
    <w:rsid w:val="7E7EF349"/>
    <w:rsid w:val="9DF7AA45"/>
    <w:rsid w:val="ECCDA0A1"/>
    <w:rsid w:val="FDF20525"/>
    <w:rsid w:val="FEE4599F"/>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11"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76" w:lineRule="auto"/>
      <w:jc w:val="both"/>
    </w:pPr>
    <w:rPr>
      <w:rFonts w:ascii="Arial" w:hAnsi="Arial" w:cs="Arial" w:eastAsiaTheme="minorHAnsi"/>
      <w:sz w:val="22"/>
      <w:szCs w:val="22"/>
      <w:lang w:val="en-US" w:eastAsia="en-US" w:bidi="ar-SA"/>
    </w:rPr>
  </w:style>
  <w:style w:type="paragraph" w:styleId="2">
    <w:name w:val="heading 1"/>
    <w:basedOn w:val="1"/>
    <w:next w:val="1"/>
    <w:link w:val="36"/>
    <w:qFormat/>
    <w:uiPriority w:val="9"/>
    <w:pPr>
      <w:keepNext/>
      <w:keepLines/>
      <w:numPr>
        <w:ilvl w:val="0"/>
        <w:numId w:val="1"/>
      </w:numPr>
      <w:spacing w:before="360"/>
      <w:outlineLvl w:val="0"/>
    </w:pPr>
    <w:rPr>
      <w:rFonts w:eastAsiaTheme="majorEastAsia"/>
      <w:b/>
      <w:bCs/>
      <w:color w:val="203864" w:themeColor="accent1" w:themeShade="80"/>
      <w:sz w:val="24"/>
      <w:szCs w:val="24"/>
    </w:rPr>
  </w:style>
  <w:style w:type="paragraph" w:styleId="3">
    <w:name w:val="heading 2"/>
    <w:basedOn w:val="1"/>
    <w:next w:val="1"/>
    <w:link w:val="34"/>
    <w:unhideWhenUsed/>
    <w:qFormat/>
    <w:uiPriority w:val="9"/>
    <w:pPr>
      <w:keepNext/>
      <w:keepLines/>
      <w:numPr>
        <w:ilvl w:val="1"/>
        <w:numId w:val="1"/>
      </w:numPr>
      <w:spacing w:before="240"/>
      <w:outlineLvl w:val="1"/>
    </w:pPr>
    <w:rPr>
      <w:rFonts w:eastAsiaTheme="majorEastAsia"/>
      <w:color w:val="2F5597" w:themeColor="accent1" w:themeShade="BF"/>
      <w:sz w:val="24"/>
      <w:szCs w:val="24"/>
    </w:rPr>
  </w:style>
  <w:style w:type="paragraph" w:styleId="4">
    <w:name w:val="heading 3"/>
    <w:basedOn w:val="1"/>
    <w:next w:val="1"/>
    <w:link w:val="46"/>
    <w:unhideWhenUsed/>
    <w:qFormat/>
    <w:uiPriority w:val="9"/>
    <w:pPr>
      <w:keepNext/>
      <w:keepLines/>
      <w:numPr>
        <w:ilvl w:val="2"/>
        <w:numId w:val="1"/>
      </w:numPr>
      <w:spacing w:after="120"/>
      <w:outlineLvl w:val="2"/>
    </w:pPr>
    <w:rPr>
      <w:rFonts w:eastAsiaTheme="majorEastAsia"/>
      <w:i/>
      <w:iCs/>
      <w:color w:val="203864" w:themeColor="accent1" w:themeShade="80"/>
      <w:sz w:val="20"/>
      <w:szCs w:val="20"/>
    </w:rPr>
  </w:style>
  <w:style w:type="paragraph" w:styleId="5">
    <w:name w:val="heading 4"/>
    <w:basedOn w:val="1"/>
    <w:next w:val="1"/>
    <w:link w:val="47"/>
    <w:unhideWhenUsed/>
    <w:qFormat/>
    <w:uiPriority w:val="9"/>
    <w:pPr>
      <w:keepNext/>
      <w:keepLines/>
      <w:spacing w:before="40" w:after="0"/>
      <w:outlineLvl w:val="3"/>
    </w:pPr>
    <w:rPr>
      <w:rFonts w:ascii="Arial Narrow" w:hAnsi="Arial Narrow" w:eastAsiaTheme="majorEastAsia" w:cstheme="majorBidi"/>
      <w:i/>
      <w:iCs/>
      <w:color w:val="2F5597" w:themeColor="accent1" w:themeShade="BF"/>
      <w:sz w:val="20"/>
      <w:szCs w:val="20"/>
    </w:rPr>
  </w:style>
  <w:style w:type="paragraph" w:styleId="6">
    <w:name w:val="heading 5"/>
    <w:basedOn w:val="1"/>
    <w:next w:val="1"/>
    <w:link w:val="48"/>
    <w:unhideWhenUsed/>
    <w:qFormat/>
    <w:uiPriority w:val="9"/>
    <w:pPr>
      <w:keepNext/>
      <w:keepLines/>
      <w:numPr>
        <w:ilvl w:val="4"/>
        <w:numId w:val="1"/>
      </w:numPr>
      <w:spacing w:before="40" w:after="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49"/>
    <w:unhideWhenUsed/>
    <w:qFormat/>
    <w:uiPriority w:val="9"/>
    <w:pPr>
      <w:keepNext/>
      <w:keepLines/>
      <w:numPr>
        <w:ilvl w:val="5"/>
        <w:numId w:val="1"/>
      </w:numPr>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1"/>
    <w:next w:val="1"/>
    <w:link w:val="50"/>
    <w:unhideWhenUsed/>
    <w:qFormat/>
    <w:uiPriority w:val="9"/>
    <w:pPr>
      <w:keepNext/>
      <w:keepLines/>
      <w:numPr>
        <w:ilvl w:val="6"/>
        <w:numId w:val="1"/>
      </w:numPr>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51"/>
    <w:unhideWhenUsed/>
    <w:qFormat/>
    <w:uiPriority w:val="9"/>
    <w:pPr>
      <w:keepNext/>
      <w:keepLines/>
      <w:numPr>
        <w:ilvl w:val="7"/>
        <w:numId w:val="1"/>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52"/>
    <w:unhideWhenUsed/>
    <w:qFormat/>
    <w:uiPriority w:val="9"/>
    <w:pPr>
      <w:keepNext/>
      <w:keepLines/>
      <w:numPr>
        <w:ilvl w:val="8"/>
        <w:numId w:val="1"/>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annotation reference"/>
    <w:basedOn w:val="11"/>
    <w:semiHidden/>
    <w:unhideWhenUsed/>
    <w:uiPriority w:val="99"/>
    <w:rPr>
      <w:sz w:val="16"/>
      <w:szCs w:val="16"/>
    </w:rPr>
  </w:style>
  <w:style w:type="paragraph" w:styleId="14">
    <w:name w:val="annotation text"/>
    <w:basedOn w:val="1"/>
    <w:link w:val="82"/>
    <w:unhideWhenUsed/>
    <w:uiPriority w:val="99"/>
    <w:pPr>
      <w:spacing w:line="240" w:lineRule="auto"/>
    </w:pPr>
    <w:rPr>
      <w:sz w:val="20"/>
      <w:szCs w:val="20"/>
    </w:rPr>
  </w:style>
  <w:style w:type="paragraph" w:styleId="15">
    <w:name w:val="annotation subject"/>
    <w:basedOn w:val="14"/>
    <w:next w:val="14"/>
    <w:link w:val="83"/>
    <w:semiHidden/>
    <w:unhideWhenUsed/>
    <w:uiPriority w:val="99"/>
    <w:rPr>
      <w:b/>
      <w:bCs/>
    </w:rPr>
  </w:style>
  <w:style w:type="paragraph" w:styleId="16">
    <w:name w:val="footer"/>
    <w:basedOn w:val="1"/>
    <w:link w:val="40"/>
    <w:unhideWhenUsed/>
    <w:uiPriority w:val="99"/>
    <w:pPr>
      <w:tabs>
        <w:tab w:val="center" w:pos="4252"/>
        <w:tab w:val="right" w:pos="8504"/>
      </w:tabs>
      <w:spacing w:after="0" w:line="240" w:lineRule="auto"/>
    </w:pPr>
  </w:style>
  <w:style w:type="character" w:styleId="17">
    <w:name w:val="footnote reference"/>
    <w:basedOn w:val="11"/>
    <w:unhideWhenUsed/>
    <w:uiPriority w:val="99"/>
    <w:rPr>
      <w:vertAlign w:val="superscript"/>
    </w:rPr>
  </w:style>
  <w:style w:type="paragraph" w:styleId="18">
    <w:name w:val="footnote text"/>
    <w:basedOn w:val="1"/>
    <w:link w:val="87"/>
    <w:semiHidden/>
    <w:unhideWhenUsed/>
    <w:uiPriority w:val="99"/>
    <w:pPr>
      <w:spacing w:before="0" w:after="0" w:line="240" w:lineRule="auto"/>
    </w:pPr>
    <w:rPr>
      <w:sz w:val="20"/>
      <w:szCs w:val="20"/>
    </w:rPr>
  </w:style>
  <w:style w:type="paragraph" w:styleId="19">
    <w:name w:val="header"/>
    <w:basedOn w:val="1"/>
    <w:link w:val="39"/>
    <w:unhideWhenUsed/>
    <w:uiPriority w:val="99"/>
    <w:pPr>
      <w:tabs>
        <w:tab w:val="center" w:pos="4252"/>
        <w:tab w:val="right" w:pos="8504"/>
      </w:tabs>
      <w:spacing w:after="0" w:line="240" w:lineRule="auto"/>
    </w:pPr>
  </w:style>
  <w:style w:type="character" w:styleId="20">
    <w:name w:val="Hyperlink"/>
    <w:basedOn w:val="11"/>
    <w:unhideWhenUsed/>
    <w:uiPriority w:val="99"/>
    <w:rPr>
      <w:color w:val="0563C1" w:themeColor="hyperlink"/>
      <w:u w:val="single"/>
      <w14:textFill>
        <w14:solidFill>
          <w14:schemeClr w14:val="hlink"/>
        </w14:solidFill>
      </w14:textFill>
    </w:rPr>
  </w:style>
  <w:style w:type="paragraph" w:styleId="21">
    <w:name w:val="List Number"/>
    <w:basedOn w:val="1"/>
    <w:unhideWhenUsed/>
    <w:qFormat/>
    <w:uiPriority w:val="11"/>
    <w:pPr>
      <w:numPr>
        <w:ilvl w:val="0"/>
        <w:numId w:val="2"/>
      </w:numPr>
      <w:spacing w:after="200" w:line="264" w:lineRule="auto"/>
      <w:contextualSpacing/>
    </w:pPr>
    <w:rPr>
      <w:rFonts w:asciiTheme="minorHAnsi" w:hAnsiTheme="minorHAnsi" w:cstheme="minorBidi"/>
    </w:rPr>
  </w:style>
  <w:style w:type="paragraph" w:styleId="22">
    <w:name w:val="Normal (Web)"/>
    <w:basedOn w:val="1"/>
    <w:unhideWhenUsed/>
    <w:uiPriority w:val="99"/>
    <w:pPr>
      <w:spacing w:before="100" w:beforeAutospacing="1" w:after="100" w:afterAutospacing="1" w:line="240" w:lineRule="auto"/>
      <w:jc w:val="left"/>
    </w:pPr>
    <w:rPr>
      <w:rFonts w:ascii="Times New Roman" w:hAnsi="Times New Roman" w:eastAsia="Times New Roman" w:cs="Times New Roman"/>
      <w:sz w:val="24"/>
      <w:szCs w:val="24"/>
      <w:lang w:eastAsia="en-GB"/>
    </w:rPr>
  </w:style>
  <w:style w:type="character" w:styleId="23">
    <w:name w:val="page number"/>
    <w:basedOn w:val="11"/>
    <w:semiHidden/>
    <w:unhideWhenUsed/>
    <w:uiPriority w:val="99"/>
  </w:style>
  <w:style w:type="table" w:styleId="24">
    <w:name w:val="Table Grid"/>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5">
    <w:name w:val="toc 1"/>
    <w:basedOn w:val="1"/>
    <w:next w:val="1"/>
    <w:autoRedefine/>
    <w:unhideWhenUsed/>
    <w:uiPriority w:val="39"/>
    <w:pPr>
      <w:tabs>
        <w:tab w:val="left" w:pos="440"/>
        <w:tab w:val="right" w:leader="dot" w:pos="8488"/>
      </w:tabs>
      <w:spacing w:after="360"/>
    </w:pPr>
    <w:rPr>
      <w:b/>
      <w:bCs/>
      <w:color w:val="1F4E79" w:themeColor="accent5" w:themeShade="80"/>
      <w:sz w:val="24"/>
      <w:szCs w:val="24"/>
      <w:lang w:val="en"/>
    </w:rPr>
  </w:style>
  <w:style w:type="paragraph" w:styleId="26">
    <w:name w:val="toc 2"/>
    <w:basedOn w:val="1"/>
    <w:next w:val="1"/>
    <w:autoRedefine/>
    <w:unhideWhenUsed/>
    <w:uiPriority w:val="39"/>
    <w:pPr>
      <w:spacing w:after="100"/>
      <w:ind w:left="220"/>
    </w:pPr>
    <w:rPr>
      <w:sz w:val="20"/>
    </w:rPr>
  </w:style>
  <w:style w:type="paragraph" w:styleId="27">
    <w:name w:val="toc 3"/>
    <w:basedOn w:val="1"/>
    <w:next w:val="1"/>
    <w:autoRedefine/>
    <w:unhideWhenUsed/>
    <w:uiPriority w:val="39"/>
    <w:pPr>
      <w:spacing w:after="100"/>
      <w:ind w:left="440"/>
    </w:pPr>
    <w:rPr>
      <w:sz w:val="20"/>
    </w:rPr>
  </w:style>
  <w:style w:type="paragraph" w:styleId="28">
    <w:name w:val="toc 4"/>
    <w:basedOn w:val="1"/>
    <w:next w:val="1"/>
    <w:autoRedefine/>
    <w:unhideWhenUsed/>
    <w:uiPriority w:val="39"/>
    <w:pPr>
      <w:spacing w:after="100"/>
      <w:ind w:left="660"/>
    </w:pPr>
    <w:rPr>
      <w:sz w:val="20"/>
    </w:rPr>
  </w:style>
  <w:style w:type="paragraph" w:styleId="29">
    <w:name w:val="toc 5"/>
    <w:basedOn w:val="1"/>
    <w:next w:val="1"/>
    <w:autoRedefine/>
    <w:unhideWhenUsed/>
    <w:uiPriority w:val="39"/>
    <w:pPr>
      <w:spacing w:after="100"/>
      <w:ind w:left="880"/>
    </w:pPr>
    <w:rPr>
      <w:sz w:val="20"/>
    </w:rPr>
  </w:style>
  <w:style w:type="paragraph" w:styleId="30">
    <w:name w:val="toc 6"/>
    <w:basedOn w:val="1"/>
    <w:next w:val="1"/>
    <w:autoRedefine/>
    <w:unhideWhenUsed/>
    <w:uiPriority w:val="39"/>
    <w:pPr>
      <w:spacing w:after="100"/>
      <w:ind w:left="1100"/>
    </w:pPr>
    <w:rPr>
      <w:sz w:val="20"/>
    </w:rPr>
  </w:style>
  <w:style w:type="paragraph" w:styleId="31">
    <w:name w:val="toc 7"/>
    <w:basedOn w:val="1"/>
    <w:next w:val="1"/>
    <w:autoRedefine/>
    <w:unhideWhenUsed/>
    <w:uiPriority w:val="39"/>
    <w:pPr>
      <w:spacing w:before="0" w:after="100" w:line="259" w:lineRule="auto"/>
      <w:ind w:left="1320"/>
      <w:jc w:val="left"/>
    </w:pPr>
    <w:rPr>
      <w:rFonts w:asciiTheme="minorHAnsi" w:hAnsiTheme="minorHAnsi" w:eastAsiaTheme="minorEastAsia" w:cstheme="minorBidi"/>
      <w:kern w:val="2"/>
      <w:lang w:val="en" w:eastAsia="es-CO"/>
      <w14:ligatures w14:val="standardContextual"/>
    </w:rPr>
  </w:style>
  <w:style w:type="paragraph" w:styleId="32">
    <w:name w:val="toc 8"/>
    <w:basedOn w:val="1"/>
    <w:next w:val="1"/>
    <w:autoRedefine/>
    <w:unhideWhenUsed/>
    <w:uiPriority w:val="39"/>
    <w:pPr>
      <w:spacing w:before="0" w:after="100" w:line="259" w:lineRule="auto"/>
      <w:ind w:left="1540"/>
      <w:jc w:val="left"/>
    </w:pPr>
    <w:rPr>
      <w:rFonts w:asciiTheme="minorHAnsi" w:hAnsiTheme="minorHAnsi" w:eastAsiaTheme="minorEastAsia" w:cstheme="minorBidi"/>
      <w:kern w:val="2"/>
      <w:lang w:val="en" w:eastAsia="es-CO"/>
      <w14:ligatures w14:val="standardContextual"/>
    </w:rPr>
  </w:style>
  <w:style w:type="paragraph" w:styleId="33">
    <w:name w:val="toc 9"/>
    <w:basedOn w:val="1"/>
    <w:next w:val="1"/>
    <w:autoRedefine/>
    <w:unhideWhenUsed/>
    <w:uiPriority w:val="39"/>
    <w:pPr>
      <w:spacing w:before="0" w:after="100" w:line="259" w:lineRule="auto"/>
      <w:ind w:left="1760"/>
      <w:jc w:val="left"/>
    </w:pPr>
    <w:rPr>
      <w:rFonts w:asciiTheme="minorHAnsi" w:hAnsiTheme="minorHAnsi" w:eastAsiaTheme="minorEastAsia" w:cstheme="minorBidi"/>
      <w:kern w:val="2"/>
      <w:lang w:val="en" w:eastAsia="es-CO"/>
      <w14:ligatures w14:val="standardContextual"/>
    </w:rPr>
  </w:style>
  <w:style w:type="character" w:customStyle="1" w:styleId="34">
    <w:name w:val="Título 2 Car"/>
    <w:basedOn w:val="11"/>
    <w:link w:val="3"/>
    <w:uiPriority w:val="9"/>
    <w:rPr>
      <w:rFonts w:ascii="Arial" w:hAnsi="Arial" w:cs="Arial" w:eastAsiaTheme="majorEastAsia"/>
      <w:color w:val="2F5597" w:themeColor="accent1" w:themeShade="BF"/>
      <w:sz w:val="24"/>
      <w:szCs w:val="24"/>
    </w:rPr>
  </w:style>
  <w:style w:type="paragraph" w:styleId="35">
    <w:name w:val="List Paragraph"/>
    <w:basedOn w:val="1"/>
    <w:link w:val="91"/>
    <w:qFormat/>
    <w:uiPriority w:val="34"/>
    <w:pPr>
      <w:ind w:left="720"/>
      <w:contextualSpacing/>
    </w:pPr>
  </w:style>
  <w:style w:type="character" w:customStyle="1" w:styleId="36">
    <w:name w:val="Título 1 Car"/>
    <w:basedOn w:val="11"/>
    <w:link w:val="2"/>
    <w:uiPriority w:val="9"/>
    <w:rPr>
      <w:rFonts w:ascii="Arial" w:hAnsi="Arial" w:cs="Arial" w:eastAsiaTheme="majorEastAsia"/>
      <w:b/>
      <w:bCs/>
      <w:color w:val="203864" w:themeColor="accent1" w:themeShade="80"/>
      <w:sz w:val="24"/>
      <w:szCs w:val="24"/>
    </w:rPr>
  </w:style>
  <w:style w:type="paragraph" w:customStyle="1" w:styleId="37">
    <w:name w:val="ParaTickBox"/>
    <w:basedOn w:val="1"/>
    <w:uiPriority w:val="0"/>
    <w:pPr>
      <w:tabs>
        <w:tab w:val="left" w:pos="510"/>
      </w:tabs>
      <w:spacing w:before="60" w:after="60" w:line="240" w:lineRule="auto"/>
      <w:ind w:left="511" w:hanging="454"/>
    </w:pPr>
    <w:rPr>
      <w:rFonts w:eastAsia="Times New Roman"/>
      <w:sz w:val="20"/>
      <w:szCs w:val="18"/>
      <w:lang w:val="en" w:eastAsia="de-DE"/>
    </w:rPr>
  </w:style>
  <w:style w:type="paragraph" w:customStyle="1" w:styleId="38">
    <w:name w:val="RegFormPara"/>
    <w:basedOn w:val="1"/>
    <w:uiPriority w:val="0"/>
    <w:pPr>
      <w:tabs>
        <w:tab w:val="left" w:pos="510"/>
      </w:tabs>
      <w:spacing w:before="60" w:after="60" w:line="240" w:lineRule="auto"/>
      <w:ind w:left="57"/>
    </w:pPr>
    <w:rPr>
      <w:rFonts w:eastAsia="Times New Roman"/>
      <w:sz w:val="20"/>
      <w:szCs w:val="18"/>
      <w:lang w:val="en" w:eastAsia="de-DE"/>
    </w:rPr>
  </w:style>
  <w:style w:type="character" w:customStyle="1" w:styleId="39">
    <w:name w:val="Encabezado Car"/>
    <w:basedOn w:val="11"/>
    <w:link w:val="19"/>
    <w:uiPriority w:val="99"/>
  </w:style>
  <w:style w:type="character" w:customStyle="1" w:styleId="40">
    <w:name w:val="Pie de página Car"/>
    <w:basedOn w:val="11"/>
    <w:link w:val="16"/>
    <w:uiPriority w:val="99"/>
  </w:style>
  <w:style w:type="table" w:customStyle="1" w:styleId="41">
    <w:name w:val="Grid Table 5 Dark Accent 2"/>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paragraph" w:customStyle="1" w:styleId="42">
    <w:name w:val="Table Text"/>
    <w:basedOn w:val="1"/>
    <w:link w:val="43"/>
    <w:qFormat/>
    <w:uiPriority w:val="0"/>
    <w:pPr>
      <w:spacing w:before="160"/>
    </w:pPr>
    <w:rPr>
      <w:rFonts w:ascii="Franklin Gothic Book" w:hAnsi="Franklin Gothic Book"/>
      <w:color w:val="404040" w:themeColor="text1" w:themeTint="BF"/>
      <w:spacing w:val="2"/>
      <w:kern w:val="21"/>
      <w:sz w:val="19"/>
      <w:szCs w:val="19"/>
      <w14:textFill>
        <w14:solidFill>
          <w14:schemeClr w14:val="tx1">
            <w14:lumMod w14:val="75000"/>
            <w14:lumOff w14:val="25000"/>
          </w14:schemeClr>
        </w14:solidFill>
      </w14:textFill>
    </w:rPr>
  </w:style>
  <w:style w:type="character" w:customStyle="1" w:styleId="43">
    <w:name w:val="Table Text Char"/>
    <w:basedOn w:val="11"/>
    <w:link w:val="42"/>
    <w:uiPriority w:val="0"/>
    <w:rPr>
      <w:rFonts w:ascii="Franklin Gothic Book" w:hAnsi="Franklin Gothic Book" w:cs="Arial"/>
      <w:color w:val="404040" w:themeColor="text1" w:themeTint="BF"/>
      <w:spacing w:val="2"/>
      <w:kern w:val="21"/>
      <w:sz w:val="19"/>
      <w:szCs w:val="19"/>
      <w:lang w:val="en"/>
      <w14:textFill>
        <w14:solidFill>
          <w14:schemeClr w14:val="tx1">
            <w14:lumMod w14:val="75000"/>
            <w14:lumOff w14:val="25000"/>
          </w14:schemeClr>
        </w14:solidFill>
      </w14:textFill>
    </w:rPr>
  </w:style>
  <w:style w:type="paragraph" w:customStyle="1" w:styleId="44">
    <w:name w:val="Template Title"/>
    <w:basedOn w:val="2"/>
    <w:link w:val="45"/>
    <w:uiPriority w:val="0"/>
    <w:pPr>
      <w:keepNext w:val="0"/>
      <w:keepLines w:val="0"/>
      <w:spacing w:before="480" w:after="120" w:line="264" w:lineRule="auto"/>
      <w:jc w:val="center"/>
    </w:pPr>
    <w:rPr>
      <w:rFonts w:ascii="Century Gothic" w:hAnsi="Century Gothic"/>
      <w:caps/>
      <w:color w:val="2B3A57"/>
      <w:kern w:val="21"/>
      <w:sz w:val="48"/>
      <w:szCs w:val="72"/>
    </w:rPr>
  </w:style>
  <w:style w:type="character" w:customStyle="1" w:styleId="45">
    <w:name w:val="Template Title Char"/>
    <w:basedOn w:val="36"/>
    <w:link w:val="44"/>
    <w:uiPriority w:val="0"/>
    <w:rPr>
      <w:rFonts w:ascii="Century Gothic" w:hAnsi="Century Gothic" w:cs="Arial" w:eastAsiaTheme="majorEastAsia"/>
      <w:caps/>
      <w:color w:val="2B3A57"/>
      <w:kern w:val="21"/>
      <w:sz w:val="48"/>
      <w:szCs w:val="72"/>
      <w:lang w:val="en"/>
    </w:rPr>
  </w:style>
  <w:style w:type="character" w:customStyle="1" w:styleId="46">
    <w:name w:val="Título 3 Car"/>
    <w:basedOn w:val="11"/>
    <w:link w:val="4"/>
    <w:uiPriority w:val="9"/>
    <w:rPr>
      <w:rFonts w:ascii="Arial" w:hAnsi="Arial" w:cs="Arial" w:eastAsiaTheme="majorEastAsia"/>
      <w:i/>
      <w:iCs/>
      <w:color w:val="203864" w:themeColor="accent1" w:themeShade="80"/>
      <w:sz w:val="20"/>
      <w:szCs w:val="20"/>
    </w:rPr>
  </w:style>
  <w:style w:type="character" w:customStyle="1" w:styleId="47">
    <w:name w:val="Título 4 Car"/>
    <w:basedOn w:val="11"/>
    <w:link w:val="5"/>
    <w:uiPriority w:val="9"/>
    <w:rPr>
      <w:rFonts w:ascii="Arial Narrow" w:hAnsi="Arial Narrow" w:eastAsiaTheme="majorEastAsia" w:cstheme="majorBidi"/>
      <w:i/>
      <w:iCs/>
      <w:color w:val="2F5597" w:themeColor="accent1" w:themeShade="BF"/>
      <w:sz w:val="20"/>
      <w:szCs w:val="20"/>
      <w:lang w:val="en"/>
    </w:rPr>
  </w:style>
  <w:style w:type="character" w:customStyle="1" w:styleId="48">
    <w:name w:val="Título 5 Car"/>
    <w:basedOn w:val="11"/>
    <w:link w:val="6"/>
    <w:semiHidden/>
    <w:uiPriority w:val="9"/>
    <w:rPr>
      <w:rFonts w:asciiTheme="majorHAnsi" w:hAnsiTheme="majorHAnsi" w:eastAsiaTheme="majorEastAsia" w:cstheme="majorBidi"/>
      <w:color w:val="2F5597" w:themeColor="accent1" w:themeShade="BF"/>
    </w:rPr>
  </w:style>
  <w:style w:type="character" w:customStyle="1" w:styleId="49">
    <w:name w:val="Título 6 Car"/>
    <w:basedOn w:val="11"/>
    <w:link w:val="7"/>
    <w:semiHidden/>
    <w:uiPriority w:val="9"/>
    <w:rPr>
      <w:rFonts w:asciiTheme="majorHAnsi" w:hAnsiTheme="majorHAnsi" w:eastAsiaTheme="majorEastAsia" w:cstheme="majorBidi"/>
      <w:color w:val="203864" w:themeColor="accent1" w:themeShade="80"/>
    </w:rPr>
  </w:style>
  <w:style w:type="character" w:customStyle="1" w:styleId="50">
    <w:name w:val="Título 7 Car"/>
    <w:basedOn w:val="11"/>
    <w:link w:val="8"/>
    <w:semiHidden/>
    <w:uiPriority w:val="9"/>
    <w:rPr>
      <w:rFonts w:asciiTheme="majorHAnsi" w:hAnsiTheme="majorHAnsi" w:eastAsiaTheme="majorEastAsia" w:cstheme="majorBidi"/>
      <w:i/>
      <w:iCs/>
      <w:color w:val="203864" w:themeColor="accent1" w:themeShade="80"/>
    </w:rPr>
  </w:style>
  <w:style w:type="character" w:customStyle="1" w:styleId="51">
    <w:name w:val="Título 8 Car"/>
    <w:basedOn w:val="11"/>
    <w:link w:val="9"/>
    <w:semiHidden/>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52">
    <w:name w:val="Título 9 Car"/>
    <w:basedOn w:val="11"/>
    <w:link w:val="10"/>
    <w:semiHidden/>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paragraph" w:customStyle="1" w:styleId="53">
    <w:name w:val="RegSectionLevel1"/>
    <w:basedOn w:val="1"/>
    <w:uiPriority w:val="0"/>
    <w:pPr>
      <w:keepNext/>
      <w:numPr>
        <w:ilvl w:val="1"/>
        <w:numId w:val="3"/>
      </w:numPr>
      <w:spacing w:after="0" w:line="240" w:lineRule="auto"/>
      <w:outlineLvl w:val="0"/>
    </w:pPr>
    <w:rPr>
      <w:rFonts w:eastAsia="MS Mincho" w:cs="Times New Roman"/>
      <w:b/>
      <w:szCs w:val="20"/>
      <w:lang w:val="en"/>
    </w:rPr>
  </w:style>
  <w:style w:type="paragraph" w:customStyle="1" w:styleId="54">
    <w:name w:val="RegSectionLevel2"/>
    <w:basedOn w:val="1"/>
    <w:uiPriority w:val="0"/>
    <w:pPr>
      <w:keepNext/>
      <w:numPr>
        <w:ilvl w:val="2"/>
        <w:numId w:val="3"/>
      </w:numPr>
      <w:spacing w:before="0" w:after="0" w:line="240" w:lineRule="auto"/>
    </w:pPr>
    <w:rPr>
      <w:rFonts w:eastAsia="Times New Roman" w:cs="Times New Roman"/>
      <w:b/>
      <w:lang w:val="en" w:eastAsia="de-DE"/>
    </w:rPr>
  </w:style>
  <w:style w:type="paragraph" w:customStyle="1" w:styleId="55">
    <w:name w:val="RegSectionLevel3"/>
    <w:basedOn w:val="1"/>
    <w:uiPriority w:val="0"/>
    <w:pPr>
      <w:keepNext/>
      <w:numPr>
        <w:ilvl w:val="3"/>
        <w:numId w:val="3"/>
      </w:numPr>
      <w:autoSpaceDE w:val="0"/>
      <w:autoSpaceDN w:val="0"/>
      <w:adjustRightInd w:val="0"/>
      <w:spacing w:before="0" w:after="0" w:line="240" w:lineRule="auto"/>
    </w:pPr>
    <w:rPr>
      <w:rFonts w:eastAsia="Times New Roman" w:cs="Times New Roman"/>
      <w:b/>
      <w:bCs/>
      <w:lang w:val="en" w:eastAsia="de-DE"/>
    </w:rPr>
  </w:style>
  <w:style w:type="paragraph" w:customStyle="1" w:styleId="56">
    <w:name w:val="RegSectionLevel4"/>
    <w:basedOn w:val="1"/>
    <w:uiPriority w:val="0"/>
    <w:pPr>
      <w:keepNext/>
      <w:numPr>
        <w:ilvl w:val="4"/>
        <w:numId w:val="3"/>
      </w:numPr>
      <w:spacing w:before="0" w:after="120" w:line="240" w:lineRule="auto"/>
    </w:pPr>
    <w:rPr>
      <w:rFonts w:eastAsia="MS Mincho" w:cs="Times New Roman"/>
      <w:b/>
      <w:szCs w:val="20"/>
      <w:lang w:val="en" w:eastAsia="de-DE"/>
    </w:rPr>
  </w:style>
  <w:style w:type="paragraph" w:customStyle="1" w:styleId="57">
    <w:name w:val="RegSectionLevel5"/>
    <w:basedOn w:val="1"/>
    <w:uiPriority w:val="0"/>
    <w:pPr>
      <w:keepNext/>
      <w:numPr>
        <w:ilvl w:val="5"/>
        <w:numId w:val="3"/>
      </w:numPr>
      <w:spacing w:before="0" w:after="120" w:line="240" w:lineRule="auto"/>
    </w:pPr>
    <w:rPr>
      <w:rFonts w:eastAsia="MS Mincho" w:cs="Times New Roman"/>
      <w:b/>
      <w:szCs w:val="20"/>
      <w:lang w:val="en" w:eastAsia="de-DE"/>
    </w:rPr>
  </w:style>
  <w:style w:type="paragraph" w:customStyle="1" w:styleId="58">
    <w:name w:val="RegSectionLevel6"/>
    <w:basedOn w:val="1"/>
    <w:uiPriority w:val="0"/>
    <w:pPr>
      <w:keepNext/>
      <w:numPr>
        <w:ilvl w:val="6"/>
        <w:numId w:val="3"/>
      </w:numPr>
      <w:spacing w:before="0" w:after="120" w:line="240" w:lineRule="auto"/>
    </w:pPr>
    <w:rPr>
      <w:rFonts w:eastAsia="MS Mincho" w:cs="Times New Roman"/>
      <w:b/>
      <w:szCs w:val="20"/>
      <w:lang w:val="en" w:eastAsia="de-DE"/>
    </w:rPr>
  </w:style>
  <w:style w:type="paragraph" w:customStyle="1" w:styleId="59">
    <w:name w:val="RegSectionLevel7"/>
    <w:basedOn w:val="1"/>
    <w:uiPriority w:val="0"/>
    <w:pPr>
      <w:keepNext/>
      <w:numPr>
        <w:ilvl w:val="7"/>
        <w:numId w:val="3"/>
      </w:numPr>
      <w:spacing w:before="0" w:after="120" w:line="240" w:lineRule="auto"/>
    </w:pPr>
    <w:rPr>
      <w:rFonts w:eastAsia="MS Mincho" w:cs="Times New Roman"/>
      <w:b/>
      <w:szCs w:val="20"/>
      <w:lang w:val="en" w:eastAsia="de-DE"/>
    </w:rPr>
  </w:style>
  <w:style w:type="paragraph" w:customStyle="1" w:styleId="60">
    <w:name w:val="RegSectionLevel8"/>
    <w:basedOn w:val="1"/>
    <w:uiPriority w:val="0"/>
    <w:pPr>
      <w:keepNext/>
      <w:numPr>
        <w:ilvl w:val="8"/>
        <w:numId w:val="3"/>
      </w:numPr>
      <w:spacing w:before="0" w:after="120" w:line="240" w:lineRule="auto"/>
    </w:pPr>
    <w:rPr>
      <w:rFonts w:eastAsia="MS Mincho" w:cs="Times New Roman"/>
      <w:b/>
      <w:szCs w:val="20"/>
      <w:lang w:val="en" w:eastAsia="de-DE"/>
    </w:rPr>
  </w:style>
  <w:style w:type="paragraph" w:customStyle="1" w:styleId="61">
    <w:name w:val="PartTitleBox"/>
    <w:basedOn w:val="1"/>
    <w:uiPriority w:val="0"/>
    <w:pPr>
      <w:keepNext/>
      <w:keepLines/>
      <w:numPr>
        <w:ilvl w:val="0"/>
        <w:numId w:val="3"/>
      </w:numPr>
      <w:pBdr>
        <w:top w:val="single" w:color="auto" w:sz="4" w:space="1"/>
        <w:left w:val="single" w:color="auto" w:sz="4" w:space="1"/>
        <w:bottom w:val="single" w:color="auto" w:sz="4" w:space="1"/>
        <w:right w:val="single" w:color="auto" w:sz="4" w:space="1"/>
      </w:pBdr>
      <w:shd w:val="clear" w:color="auto" w:fill="D9D9D9"/>
      <w:spacing w:before="0" w:after="0" w:line="240" w:lineRule="auto"/>
      <w:ind w:right="57"/>
      <w:jc w:val="center"/>
      <w:outlineLvl w:val="0"/>
    </w:pPr>
    <w:rPr>
      <w:rFonts w:ascii="Times New Roman Bold" w:hAnsi="Times New Roman Bold" w:eastAsia="Times New Roman" w:cs="Times New Roman"/>
      <w:b/>
      <w:szCs w:val="20"/>
      <w:u w:val="dash"/>
      <w:lang w:val="en" w:eastAsia="de-DE"/>
    </w:rPr>
  </w:style>
  <w:style w:type="paragraph" w:customStyle="1" w:styleId="62">
    <w:name w:val="SDMPDD&amp;PoASubSection1"/>
    <w:basedOn w:val="1"/>
    <w:qFormat/>
    <w:uiPriority w:val="0"/>
    <w:pPr>
      <w:keepNext/>
      <w:keepLines/>
      <w:tabs>
        <w:tab w:val="left" w:pos="1474"/>
      </w:tabs>
      <w:suppressAutoHyphens/>
      <w:spacing w:before="240" w:after="60" w:line="240" w:lineRule="auto"/>
      <w:outlineLvl w:val="1"/>
    </w:pPr>
    <w:rPr>
      <w:rFonts w:eastAsia="MS Mincho"/>
      <w:b/>
      <w:szCs w:val="24"/>
      <w:lang w:val="en" w:eastAsia="de-DE"/>
    </w:rPr>
  </w:style>
  <w:style w:type="character" w:customStyle="1" w:styleId="63">
    <w:name w:val="Subtle Emphasis"/>
    <w:basedOn w:val="11"/>
    <w:qFormat/>
    <w:uiPriority w:val="19"/>
    <w:rPr>
      <w:rFonts w:ascii="Arial" w:hAnsi="Arial"/>
      <w:i/>
      <w:iCs/>
      <w:color w:val="44546A" w:themeColor="text2"/>
      <w14:textFill>
        <w14:solidFill>
          <w14:schemeClr w14:val="tx2"/>
        </w14:solidFill>
      </w14:textFill>
    </w:rPr>
  </w:style>
  <w:style w:type="paragraph" w:customStyle="1" w:styleId="64">
    <w:name w:val="Instruction"/>
    <w:basedOn w:val="65"/>
    <w:qFormat/>
    <w:uiPriority w:val="3"/>
    <w:pPr>
      <w:autoSpaceDE w:val="0"/>
      <w:autoSpaceDN w:val="0"/>
      <w:adjustRightInd w:val="0"/>
      <w:spacing w:before="160" w:line="312" w:lineRule="auto"/>
      <w:ind w:left="720"/>
      <w:jc w:val="left"/>
    </w:pPr>
    <w:rPr>
      <w:rFonts w:ascii="Franklin Gothic Book" w:hAnsi="Franklin Gothic Book" w:eastAsia="MS Mincho" w:cs="Times New Roman"/>
      <w:i/>
      <w:iCs/>
      <w:color w:val="4F5150"/>
      <w:spacing w:val="2"/>
      <w:kern w:val="21"/>
      <w:sz w:val="21"/>
      <w:szCs w:val="24"/>
    </w:rPr>
  </w:style>
  <w:style w:type="paragraph" w:styleId="65">
    <w:name w:val="No Spacing"/>
    <w:qFormat/>
    <w:uiPriority w:val="1"/>
    <w:pPr>
      <w:spacing w:after="0" w:line="240" w:lineRule="auto"/>
      <w:jc w:val="both"/>
    </w:pPr>
    <w:rPr>
      <w:rFonts w:ascii="Arial" w:hAnsi="Arial" w:cs="Arial" w:eastAsiaTheme="minorHAnsi"/>
      <w:sz w:val="22"/>
      <w:szCs w:val="22"/>
      <w:lang w:val="en" w:eastAsia="en-US" w:bidi="ar-SA"/>
    </w:rPr>
  </w:style>
  <w:style w:type="paragraph" w:customStyle="1" w:styleId="66">
    <w:name w:val="Table Header"/>
    <w:basedOn w:val="1"/>
    <w:link w:val="67"/>
    <w:qFormat/>
    <w:uiPriority w:val="0"/>
    <w:pPr>
      <w:spacing w:after="120" w:line="240" w:lineRule="auto"/>
      <w:jc w:val="left"/>
    </w:pPr>
    <w:rPr>
      <w:rFonts w:ascii="Franklin Gothic Book" w:hAnsi="Franklin Gothic Book" w:cstheme="minorBidi"/>
      <w:b/>
      <w:bCs/>
      <w:color w:val="FFFFFF" w:themeColor="background1"/>
      <w:spacing w:val="4"/>
      <w:kern w:val="21"/>
      <w:sz w:val="21"/>
      <w14:textFill>
        <w14:solidFill>
          <w14:schemeClr w14:val="bg1"/>
        </w14:solidFill>
      </w14:textFill>
    </w:rPr>
  </w:style>
  <w:style w:type="character" w:customStyle="1" w:styleId="67">
    <w:name w:val="Table Header Char"/>
    <w:basedOn w:val="11"/>
    <w:link w:val="66"/>
    <w:uiPriority w:val="0"/>
    <w:rPr>
      <w:rFonts w:ascii="Franklin Gothic Book" w:hAnsi="Franklin Gothic Book"/>
      <w:b/>
      <w:bCs/>
      <w:color w:val="FFFFFF" w:themeColor="background1"/>
      <w:spacing w:val="4"/>
      <w:kern w:val="21"/>
      <w:sz w:val="21"/>
      <w:lang w:val="en"/>
      <w14:textFill>
        <w14:solidFill>
          <w14:schemeClr w14:val="bg1"/>
        </w14:solidFill>
      </w14:textFill>
    </w:rPr>
  </w:style>
  <w:style w:type="table" w:customStyle="1" w:styleId="68">
    <w:name w:val="Tabla con cuadrícula1"/>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9">
    <w:name w:val="Template table text"/>
    <w:basedOn w:val="42"/>
    <w:link w:val="70"/>
    <w:qFormat/>
    <w:uiPriority w:val="0"/>
    <w:pPr>
      <w:spacing w:before="96" w:beforeLines="40" w:after="96" w:afterLines="40" w:line="240" w:lineRule="auto"/>
      <w:jc w:val="left"/>
    </w:pPr>
    <w:rPr>
      <w:sz w:val="21"/>
      <w:szCs w:val="21"/>
    </w:rPr>
  </w:style>
  <w:style w:type="character" w:customStyle="1" w:styleId="70">
    <w:name w:val="Template table text Char"/>
    <w:basedOn w:val="43"/>
    <w:link w:val="69"/>
    <w:uiPriority w:val="0"/>
    <w:rPr>
      <w:rFonts w:ascii="Franklin Gothic Book" w:hAnsi="Franklin Gothic Book" w:cs="Arial"/>
      <w:color w:val="404040" w:themeColor="text1" w:themeTint="BF"/>
      <w:spacing w:val="2"/>
      <w:kern w:val="21"/>
      <w:sz w:val="21"/>
      <w:szCs w:val="21"/>
      <w:lang w:val="en"/>
      <w14:textFill>
        <w14:solidFill>
          <w14:schemeClr w14:val="tx1">
            <w14:lumMod w14:val="75000"/>
            <w14:lumOff w14:val="25000"/>
          </w14:schemeClr>
        </w14:solidFill>
      </w14:textFill>
    </w:rPr>
  </w:style>
  <w:style w:type="table" w:customStyle="1" w:styleId="71">
    <w:name w:val="Grid Table 4 Accent 5"/>
    <w:basedOn w:val="12"/>
    <w:uiPriority w:val="49"/>
    <w:pPr>
      <w:spacing w:after="0" w:line="240" w:lineRule="auto"/>
    </w:p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72">
    <w:name w:val="List Table 7 Colorful Accent 1"/>
    <w:basedOn w:val="12"/>
    <w:uiPriority w:val="52"/>
    <w:pPr>
      <w:spacing w:after="0" w:line="240" w:lineRule="auto"/>
    </w:pPr>
    <w:rPr>
      <w:color w:val="2F5597" w:themeColor="accent1" w:themeShade="BF"/>
    </w:rPr>
    <w:tblStylePr w:type="firstRow">
      <w:rPr>
        <w:rFonts w:asciiTheme="majorHAnsi" w:hAnsiTheme="majorHAnsi" w:eastAsiaTheme="majorEastAsia" w:cstheme="majorBidi"/>
        <w:i/>
        <w:iCs/>
        <w:sz w:val="26"/>
      </w:rPr>
      <w:tcPr>
        <w:tcBorders>
          <w:bottom w:val="single" w:color="4472C4"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1" w:sz="4" w:space="0"/>
        </w:tcBorders>
        <w:shd w:val="clear" w:color="auto" w:fill="FFFFFF" w:themeFill="background1"/>
      </w:tcPr>
    </w:tblStylePr>
    <w:tblStylePr w:type="band1Vert">
      <w:tcPr>
        <w:shd w:val="clear" w:color="auto" w:fill="D9E2F3" w:themeFill="accent1" w:themeFillTint="33"/>
      </w:tcPr>
    </w:tblStylePr>
    <w:tblStylePr w:type="band1Horz">
      <w:tcPr>
        <w:shd w:val="clear" w:color="auto" w:fill="D9E2F3"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73">
    <w:name w:val="List Table 6 Colorful Accent 6"/>
    <w:basedOn w:val="12"/>
    <w:uiPriority w:val="51"/>
    <w:pPr>
      <w:spacing w:after="0" w:line="240" w:lineRule="auto"/>
    </w:pPr>
    <w:rPr>
      <w:color w:val="548235" w:themeColor="accent6" w:themeShade="BF"/>
    </w:rPr>
    <w:tblPr>
      <w:tblBorders>
        <w:top w:val="single" w:color="70AD47" w:themeColor="accent6" w:sz="4" w:space="0"/>
        <w:bottom w:val="single" w:color="70AD47" w:themeColor="accent6" w:sz="4" w:space="0"/>
      </w:tblBorders>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74">
    <w:name w:val="List Table 7 Colorful Accent 5"/>
    <w:basedOn w:val="12"/>
    <w:uiPriority w:val="52"/>
    <w:pPr>
      <w:spacing w:after="0" w:line="240" w:lineRule="auto"/>
    </w:pPr>
    <w:rPr>
      <w:color w:val="2E75B6" w:themeColor="accent5" w:themeShade="BF"/>
    </w:rPr>
    <w:tblStylePr w:type="firstRow">
      <w:rPr>
        <w:rFonts w:asciiTheme="majorHAnsi" w:hAnsiTheme="majorHAnsi" w:eastAsiaTheme="majorEastAsia" w:cstheme="majorBidi"/>
        <w:i/>
        <w:iCs/>
        <w:sz w:val="26"/>
      </w:rPr>
      <w:tcPr>
        <w:tcBorders>
          <w:bottom w:val="single" w:color="5B9BD5"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5" w:sz="4" w:space="0"/>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75">
    <w:name w:val="List Table 1 Light Accent 5"/>
    <w:basedOn w:val="12"/>
    <w:uiPriority w:val="46"/>
    <w:pPr>
      <w:spacing w:after="0" w:line="240" w:lineRule="auto"/>
    </w:pPr>
    <w:tblStylePr w:type="firstRow">
      <w:rPr>
        <w:b/>
        <w:bCs/>
      </w:rPr>
      <w:tcPr>
        <w:tcBorders>
          <w:bottom w:val="single" w:color="9CC2E5" w:themeColor="accent5" w:themeTint="99" w:sz="4" w:space="0"/>
        </w:tcBorders>
      </w:tcPr>
    </w:tblStylePr>
    <w:tblStylePr w:type="lastRow">
      <w:rPr>
        <w:b/>
        <w:bCs/>
      </w:rPr>
      <w:tcPr>
        <w:tcBorders>
          <w:top w:val="sing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76">
    <w:name w:val="List Table 1 Light Accent 1"/>
    <w:basedOn w:val="12"/>
    <w:uiPriority w:val="46"/>
    <w:pPr>
      <w:spacing w:after="0" w:line="240" w:lineRule="auto"/>
    </w:pPr>
    <w:tblStylePr w:type="firstRow">
      <w:rPr>
        <w:b/>
        <w:bCs/>
      </w:rPr>
      <w:tcPr>
        <w:tcBorders>
          <w:bottom w:val="single" w:color="8EAADB" w:themeColor="accent1" w:themeTint="99" w:sz="4" w:space="0"/>
        </w:tcBorders>
      </w:tcPr>
    </w:tblStylePr>
    <w:tblStylePr w:type="lastRow">
      <w:rPr>
        <w:b/>
        <w:bCs/>
      </w:rPr>
      <w:tcPr>
        <w:tcBorders>
          <w:top w:val="single" w:color="8EAADB" w:themeColor="accent1" w:themeTint="99"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table" w:customStyle="1" w:styleId="77">
    <w:name w:val="List Table 2 Accent 6"/>
    <w:basedOn w:val="12"/>
    <w:uiPriority w:val="47"/>
    <w:pPr>
      <w:spacing w:after="0" w:line="240" w:lineRule="auto"/>
    </w:pPr>
    <w:tblPr>
      <w:tblBorders>
        <w:top w:val="single" w:color="A8D08D" w:themeColor="accent6" w:themeTint="99" w:sz="4" w:space="0"/>
        <w:bottom w:val="single" w:color="A8D08D" w:themeColor="accent6" w:themeTint="99" w:sz="4" w:space="0"/>
        <w:insideH w:val="single" w:color="A8D0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78">
    <w:name w:val="List Table 2 Accent 5"/>
    <w:basedOn w:val="12"/>
    <w:uiPriority w:val="47"/>
    <w:pPr>
      <w:spacing w:after="0" w:line="240" w:lineRule="auto"/>
    </w:pPr>
    <w:tblPr>
      <w:tblBorders>
        <w:top w:val="single" w:color="9CC2E5" w:themeColor="accent5" w:themeTint="99" w:sz="4" w:space="0"/>
        <w:bottom w:val="single" w:color="9CC2E5" w:themeColor="accent5" w:themeTint="99" w:sz="4" w:space="0"/>
        <w:insideH w:val="single" w:color="9CC2E5"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79">
    <w:name w:val="Grid Table 1 Light Accent 1"/>
    <w:basedOn w:val="12"/>
    <w:uiPriority w:val="46"/>
    <w:pPr>
      <w:spacing w:after="0" w:line="240" w:lineRule="auto"/>
    </w:pPr>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character" w:customStyle="1" w:styleId="80">
    <w:name w:val="Unresolved Mention"/>
    <w:basedOn w:val="11"/>
    <w:semiHidden/>
    <w:unhideWhenUsed/>
    <w:uiPriority w:val="99"/>
    <w:rPr>
      <w:color w:val="605E5C"/>
      <w:shd w:val="clear" w:color="auto" w:fill="E1DFDD"/>
    </w:rPr>
  </w:style>
  <w:style w:type="paragraph" w:customStyle="1" w:styleId="81">
    <w:name w:val="Revision"/>
    <w:hidden/>
    <w:semiHidden/>
    <w:uiPriority w:val="99"/>
    <w:pPr>
      <w:spacing w:after="0" w:line="240" w:lineRule="auto"/>
    </w:pPr>
    <w:rPr>
      <w:rFonts w:ascii="Arial" w:hAnsi="Arial" w:cs="Arial" w:eastAsiaTheme="minorHAnsi"/>
      <w:sz w:val="22"/>
      <w:szCs w:val="22"/>
      <w:lang w:val="en" w:eastAsia="en-US" w:bidi="ar-SA"/>
    </w:rPr>
  </w:style>
  <w:style w:type="character" w:customStyle="1" w:styleId="82">
    <w:name w:val="Texto comentario Car"/>
    <w:basedOn w:val="11"/>
    <w:link w:val="14"/>
    <w:uiPriority w:val="99"/>
    <w:rPr>
      <w:rFonts w:ascii="Arial" w:hAnsi="Arial" w:cs="Arial"/>
      <w:sz w:val="20"/>
      <w:szCs w:val="20"/>
    </w:rPr>
  </w:style>
  <w:style w:type="character" w:customStyle="1" w:styleId="83">
    <w:name w:val="Asunto del comentario Car"/>
    <w:basedOn w:val="82"/>
    <w:link w:val="15"/>
    <w:semiHidden/>
    <w:uiPriority w:val="99"/>
    <w:rPr>
      <w:rFonts w:ascii="Arial" w:hAnsi="Arial" w:cs="Arial"/>
      <w:b/>
      <w:bCs/>
      <w:sz w:val="20"/>
      <w:szCs w:val="20"/>
    </w:rPr>
  </w:style>
  <w:style w:type="paragraph" w:customStyle="1" w:styleId="84">
    <w:name w:val="TOC Heading"/>
    <w:basedOn w:val="2"/>
    <w:next w:val="1"/>
    <w:unhideWhenUsed/>
    <w:qFormat/>
    <w:uiPriority w:val="39"/>
    <w:pPr>
      <w:numPr>
        <w:numId w:val="0"/>
      </w:numPr>
      <w:spacing w:before="240" w:after="0" w:line="259" w:lineRule="auto"/>
      <w:jc w:val="left"/>
      <w:outlineLvl w:val="9"/>
    </w:pPr>
    <w:rPr>
      <w:rFonts w:asciiTheme="majorHAnsi" w:hAnsiTheme="majorHAnsi" w:cstheme="majorBidi"/>
      <w:b w:val="0"/>
      <w:bCs w:val="0"/>
      <w:color w:val="2F5597" w:themeColor="accent1" w:themeShade="BF"/>
      <w:sz w:val="32"/>
      <w:szCs w:val="32"/>
      <w:lang w:val="en" w:eastAsia="es-CO"/>
    </w:rPr>
  </w:style>
  <w:style w:type="paragraph" w:customStyle="1" w:styleId="85">
    <w:name w:val="pf0"/>
    <w:basedOn w:val="1"/>
    <w:uiPriority w:val="0"/>
    <w:pPr>
      <w:spacing w:before="100" w:beforeAutospacing="1" w:after="100" w:afterAutospacing="1" w:line="240" w:lineRule="auto"/>
      <w:jc w:val="left"/>
    </w:pPr>
    <w:rPr>
      <w:rFonts w:ascii="Times New Roman" w:hAnsi="Times New Roman" w:eastAsia="Times New Roman" w:cs="Times New Roman"/>
      <w:sz w:val="24"/>
      <w:szCs w:val="24"/>
      <w:lang w:val="en" w:eastAsia="es-CO"/>
    </w:rPr>
  </w:style>
  <w:style w:type="character" w:customStyle="1" w:styleId="86">
    <w:name w:val="cf01"/>
    <w:basedOn w:val="11"/>
    <w:uiPriority w:val="0"/>
    <w:rPr>
      <w:rFonts w:hint="default" w:ascii="Segoe UI" w:hAnsi="Segoe UI" w:cs="Segoe UI"/>
      <w:sz w:val="18"/>
      <w:szCs w:val="18"/>
    </w:rPr>
  </w:style>
  <w:style w:type="character" w:customStyle="1" w:styleId="87">
    <w:name w:val="Texto nota pie Car"/>
    <w:basedOn w:val="11"/>
    <w:link w:val="18"/>
    <w:semiHidden/>
    <w:uiPriority w:val="99"/>
    <w:rPr>
      <w:rFonts w:ascii="Arial" w:hAnsi="Arial" w:cs="Arial"/>
      <w:sz w:val="20"/>
      <w:szCs w:val="20"/>
      <w:lang w:val="en-US"/>
    </w:rPr>
  </w:style>
  <w:style w:type="paragraph" w:customStyle="1" w:styleId="88">
    <w:name w:val="Bullets"/>
    <w:basedOn w:val="1"/>
    <w:autoRedefine/>
    <w:uiPriority w:val="5"/>
    <w:pPr>
      <w:autoSpaceDE w:val="0"/>
      <w:autoSpaceDN w:val="0"/>
      <w:adjustRightInd w:val="0"/>
      <w:spacing w:before="0" w:after="120" w:line="288" w:lineRule="auto"/>
      <w:jc w:val="left"/>
    </w:pPr>
    <w:rPr>
      <w:rFonts w:ascii="Franklin Gothic Book" w:hAnsi="Franklin Gothic Book" w:eastAsia="MS Mincho" w:cs="Times New Roman"/>
      <w:i/>
      <w:iCs/>
      <w:color w:val="51647E" w:themeColor="text2" w:themeTint="F2"/>
      <w:spacing w:val="2"/>
      <w:kern w:val="21"/>
      <w:sz w:val="21"/>
      <w:szCs w:val="24"/>
      <w:lang w:val="en-GB"/>
      <w14:textFill>
        <w14:solidFill>
          <w14:schemeClr w14:val="tx2">
            <w14:lumMod w14:val="95000"/>
            <w14:lumOff w14:val="5000"/>
            <w14:lumMod w14:val="95000"/>
            <w14:lumOff w14:val="5000"/>
          </w14:schemeClr>
        </w14:solidFill>
      </w14:textFill>
    </w:rPr>
  </w:style>
  <w:style w:type="paragraph" w:customStyle="1" w:styleId="89">
    <w:name w:val="Nota al pie"/>
    <w:basedOn w:val="18"/>
    <w:link w:val="90"/>
    <w:qFormat/>
    <w:uiPriority w:val="0"/>
    <w:rPr>
      <w:sz w:val="16"/>
      <w:szCs w:val="16"/>
    </w:rPr>
  </w:style>
  <w:style w:type="character" w:customStyle="1" w:styleId="90">
    <w:name w:val="Nota al pie Car"/>
    <w:basedOn w:val="87"/>
    <w:link w:val="89"/>
    <w:uiPriority w:val="0"/>
    <w:rPr>
      <w:rFonts w:ascii="Arial" w:hAnsi="Arial" w:cs="Arial"/>
      <w:sz w:val="16"/>
      <w:szCs w:val="16"/>
    </w:rPr>
  </w:style>
  <w:style w:type="character" w:customStyle="1" w:styleId="91">
    <w:name w:val="Párrafo de lista Car"/>
    <w:link w:val="35"/>
    <w:uiPriority w:val="34"/>
    <w:rPr>
      <w:rFonts w:ascii="Arial" w:hAnsi="Arial" w:cs="Arial"/>
      <w:lang w:val="en-US"/>
    </w:rPr>
  </w:style>
  <w:style w:type="table" w:customStyle="1" w:styleId="92">
    <w:name w:val="Grid Table 6 Colorful Accent 1"/>
    <w:basedOn w:val="12"/>
    <w:uiPriority w:val="51"/>
    <w:pPr>
      <w:spacing w:after="0" w:line="240" w:lineRule="auto"/>
    </w:pPr>
    <w:rPr>
      <w:color w:val="2F5597" w:themeColor="accent1" w:themeShade="BF"/>
    </w:rPr>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table" w:customStyle="1" w:styleId="93">
    <w:name w:val="Grid Table 6 Colorful"/>
    <w:basedOn w:val="12"/>
    <w:uiPriority w:val="51"/>
    <w:pPr>
      <w:spacing w:after="0" w:line="240" w:lineRule="auto"/>
    </w:pPr>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94">
    <w:name w:val="Heading 31"/>
    <w:basedOn w:val="4"/>
    <w:uiPriority w:val="0"/>
    <w:pPr>
      <w:keepLines w:val="0"/>
      <w:numPr>
        <w:numId w:val="4"/>
      </w:numPr>
      <w:spacing w:before="0" w:after="240" w:line="288" w:lineRule="auto"/>
      <w:jc w:val="left"/>
    </w:pPr>
    <w:rPr>
      <w:rFonts w:ascii="Arial Bold" w:hAnsi="Arial Bold" w:eastAsia="Times New Roman"/>
      <w:bCs/>
      <w:i w:val="0"/>
      <w:iCs w:val="0"/>
      <w:color w:val="005B82"/>
      <w:kern w:val="21"/>
      <w:sz w:val="22"/>
      <w:lang w:val="en-CA"/>
    </w:rPr>
  </w:style>
  <w:style w:type="table" w:customStyle="1" w:styleId="95">
    <w:name w:val="Table Grid0"/>
    <w:uiPriority w:val="0"/>
    <w:pPr>
      <w:spacing w:after="0" w:line="240" w:lineRule="auto"/>
    </w:pPr>
    <w:rPr>
      <w:rFonts w:eastAsiaTheme="minorEastAsia"/>
      <w:kern w:val="2"/>
      <w:sz w:val="24"/>
      <w:szCs w:val="24"/>
      <w:lang w:val="es-ES"/>
      <w14:ligatures w14:val="standardContextual"/>
    </w:rPr>
    <w:tblPr>
      <w:tblCellMar>
        <w:top w:w="0" w:type="dxa"/>
        <w:left w:w="0" w:type="dxa"/>
        <w:bottom w:w="0" w:type="dxa"/>
        <w:right w:w="0" w:type="dxa"/>
      </w:tblCellMar>
    </w:tblPr>
  </w:style>
  <w:style w:type="paragraph" w:customStyle="1" w:styleId="96">
    <w:name w:val="p1"/>
    <w:uiPriority w:val="0"/>
    <w:pPr>
      <w:spacing w:before="0" w:beforeAutospacing="0" w:after="0" w:afterAutospacing="0"/>
      <w:ind w:left="0" w:right="0"/>
      <w:jc w:val="left"/>
    </w:pPr>
    <w:rPr>
      <w:rFonts w:ascii="helvetica" w:hAnsi="helvetica" w:eastAsia="helvetica" w:cs="helvetica"/>
      <w:color w:val="000000"/>
      <w:kern w:val="0"/>
      <w:sz w:val="22"/>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hyperlink" Target="https://www.argentina.gob.ar/sites/default/files/2020/11/mapaterritorios_oatyp_12-2023.pdf" TargetMode="Externa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BioCarbon Registry</Company>
  <Pages>54</Pages>
  <Words>13875</Words>
  <Characters>76316</Characters>
  <Lines>635</Lines>
  <Paragraphs>180</Paragraphs>
  <TotalTime>5</TotalTime>
  <ScaleCrop>false</ScaleCrop>
  <LinksUpToDate>false</LinksUpToDate>
  <CharactersWithSpaces>90011</CharactersWithSpaces>
  <Application>WPS Office_6.10.1.8203_F1E327BC-269C-435d-A152-05C5408002CA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Formato</cp:category>
  <dcterms:created xsi:type="dcterms:W3CDTF">2024-02-22T23:36:00Z</dcterms:created>
  <dc:creator>marcos mendez</dc:creator>
  <cp:keywords>Monitoreo</cp:keywords>
  <cp:lastModifiedBy>AML</cp:lastModifiedBy>
  <dcterms:modified xsi:type="dcterms:W3CDTF">2024-11-21T10:40:50Z</dcterms:modified>
  <dc:subject>Template</dc:subject>
  <dc:title>Monitoring Report</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6883a76f3800a2a253997b2d925071d90027cb8d8cb7bc308db16777f8068a41</vt:lpwstr>
  </property>
  <property fmtid="{D5CDD505-2E9C-101B-9397-08002B2CF9AE}" pid="3" name="KSOProductBuildVer">
    <vt:lpwstr>1033-6.10.1.8203</vt:lpwstr>
  </property>
  <property fmtid="{D5CDD505-2E9C-101B-9397-08002B2CF9AE}" pid="4" name="ICV">
    <vt:lpwstr>3476CD1D696455D9F086E166693D5398_42</vt:lpwstr>
  </property>
</Properties>
</file>